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27B5" w:rsidRDefault="00BA27B5" w:rsidP="0038788B">
      <w:pPr>
        <w:ind w:left="5529"/>
        <w:rPr>
          <w:rFonts w:asciiTheme="minorHAnsi" w:hAnsiTheme="minorHAnsi"/>
          <w:b/>
          <w:sz w:val="24"/>
          <w:szCs w:val="24"/>
          <w:lang w:val="bg-BG"/>
        </w:rPr>
      </w:pPr>
    </w:p>
    <w:p w:rsidR="0038788B" w:rsidRDefault="0038788B" w:rsidP="0038788B">
      <w:pPr>
        <w:ind w:left="5529"/>
        <w:rPr>
          <w:rFonts w:asciiTheme="minorHAnsi" w:hAnsiTheme="minorHAnsi"/>
          <w:b/>
          <w:sz w:val="24"/>
          <w:szCs w:val="24"/>
          <w:lang w:val="bg-BG"/>
        </w:rPr>
      </w:pPr>
      <w:r w:rsidRPr="00E009DD">
        <w:rPr>
          <w:rFonts w:asciiTheme="minorHAnsi" w:hAnsiTheme="minorHAnsi"/>
          <w:b/>
          <w:sz w:val="24"/>
          <w:szCs w:val="24"/>
          <w:lang w:val="bg-BG"/>
        </w:rPr>
        <w:t>ДО</w:t>
      </w:r>
    </w:p>
    <w:p w:rsidR="0038788B" w:rsidRPr="00421366" w:rsidRDefault="003B2C60" w:rsidP="0038788B">
      <w:pPr>
        <w:ind w:left="5529"/>
        <w:rPr>
          <w:rFonts w:asciiTheme="minorHAnsi" w:hAnsiTheme="minorHAnsi"/>
          <w:b/>
          <w:sz w:val="24"/>
          <w:szCs w:val="24"/>
          <w:lang w:val="bg-BG"/>
        </w:rPr>
      </w:pPr>
      <w:r>
        <w:rPr>
          <w:rFonts w:asciiTheme="minorHAnsi" w:hAnsiTheme="minorHAnsi"/>
          <w:b/>
          <w:sz w:val="24"/>
          <w:szCs w:val="24"/>
          <w:lang w:val="bg-BG"/>
        </w:rPr>
        <w:t>КОМИСИЯТА ПО ОСИГУРИТЕЛНИ ОТНОШЕНИЯ КЪМ НАЦИОНАЛНИЯ СЪВЕТ ЗА ТРИСТРАННО СЪТРУДНИЧЕСТВО</w:t>
      </w:r>
    </w:p>
    <w:p w:rsidR="00763B6D" w:rsidRPr="00E009DD" w:rsidRDefault="00763B6D" w:rsidP="00763B6D">
      <w:pPr>
        <w:jc w:val="center"/>
        <w:rPr>
          <w:rFonts w:asciiTheme="minorHAnsi" w:hAnsiTheme="minorHAnsi"/>
          <w:b/>
          <w:sz w:val="24"/>
          <w:szCs w:val="24"/>
          <w:lang w:val="bg-BG"/>
        </w:rPr>
      </w:pPr>
    </w:p>
    <w:p w:rsidR="00763B6D" w:rsidRDefault="00763B6D" w:rsidP="00763B6D">
      <w:pPr>
        <w:jc w:val="center"/>
        <w:rPr>
          <w:rFonts w:asciiTheme="minorHAnsi" w:hAnsiTheme="minorHAnsi"/>
          <w:b/>
          <w:sz w:val="24"/>
          <w:szCs w:val="24"/>
          <w:lang w:val="bg-BG"/>
        </w:rPr>
      </w:pPr>
    </w:p>
    <w:p w:rsidR="00BA27B5" w:rsidRPr="00E009DD" w:rsidRDefault="00BA27B5" w:rsidP="00763B6D">
      <w:pPr>
        <w:jc w:val="center"/>
        <w:rPr>
          <w:rFonts w:asciiTheme="minorHAnsi" w:hAnsiTheme="minorHAnsi"/>
          <w:b/>
          <w:sz w:val="24"/>
          <w:szCs w:val="24"/>
          <w:lang w:val="bg-BG"/>
        </w:rPr>
      </w:pPr>
    </w:p>
    <w:p w:rsidR="00763B6D" w:rsidRPr="00E009DD" w:rsidRDefault="00763B6D" w:rsidP="00763B6D">
      <w:pPr>
        <w:jc w:val="center"/>
        <w:rPr>
          <w:rFonts w:asciiTheme="minorHAnsi" w:hAnsiTheme="minorHAnsi"/>
          <w:b/>
          <w:sz w:val="24"/>
          <w:szCs w:val="24"/>
          <w:lang w:val="bg-BG"/>
        </w:rPr>
      </w:pPr>
    </w:p>
    <w:p w:rsidR="00763B6D" w:rsidRPr="00E009DD" w:rsidRDefault="00763B6D" w:rsidP="00D11CFE">
      <w:pPr>
        <w:ind w:left="426" w:right="272"/>
        <w:jc w:val="center"/>
        <w:rPr>
          <w:rFonts w:asciiTheme="minorHAnsi" w:hAnsiTheme="minorHAnsi"/>
          <w:b/>
          <w:sz w:val="24"/>
          <w:szCs w:val="24"/>
          <w:lang w:val="bg-BG"/>
        </w:rPr>
      </w:pPr>
      <w:r w:rsidRPr="00E009DD">
        <w:rPr>
          <w:rFonts w:asciiTheme="minorHAnsi" w:hAnsiTheme="minorHAnsi"/>
          <w:b/>
          <w:sz w:val="24"/>
          <w:szCs w:val="24"/>
          <w:lang w:val="bg-BG"/>
        </w:rPr>
        <w:t>С Т А Н О В И Щ Е</w:t>
      </w:r>
    </w:p>
    <w:p w:rsidR="00763B6D" w:rsidRPr="00E009DD" w:rsidRDefault="00763B6D" w:rsidP="00D11CFE">
      <w:pPr>
        <w:ind w:left="426" w:right="272"/>
        <w:jc w:val="center"/>
        <w:rPr>
          <w:rFonts w:asciiTheme="minorHAnsi" w:hAnsiTheme="minorHAnsi"/>
          <w:b/>
          <w:sz w:val="24"/>
          <w:szCs w:val="24"/>
          <w:lang w:val="bg-BG"/>
        </w:rPr>
      </w:pPr>
      <w:r w:rsidRPr="00E009DD">
        <w:rPr>
          <w:rFonts w:asciiTheme="minorHAnsi" w:hAnsiTheme="minorHAnsi"/>
          <w:b/>
          <w:sz w:val="24"/>
          <w:szCs w:val="24"/>
          <w:lang w:val="bg-BG"/>
        </w:rPr>
        <w:t>на Конфедерация на труда „Подкрепа“</w:t>
      </w:r>
    </w:p>
    <w:p w:rsidR="00763B6D" w:rsidRDefault="00763B6D" w:rsidP="00030D13">
      <w:pPr>
        <w:ind w:left="426" w:right="272"/>
        <w:jc w:val="center"/>
        <w:rPr>
          <w:rFonts w:asciiTheme="minorHAnsi" w:hAnsiTheme="minorHAnsi"/>
          <w:sz w:val="24"/>
          <w:szCs w:val="24"/>
          <w:lang w:val="bg-BG"/>
        </w:rPr>
      </w:pPr>
      <w:r w:rsidRPr="00E009DD">
        <w:rPr>
          <w:rFonts w:asciiTheme="minorHAnsi" w:hAnsiTheme="minorHAnsi"/>
          <w:b/>
          <w:sz w:val="24"/>
          <w:szCs w:val="24"/>
          <w:lang w:val="bg-BG"/>
        </w:rPr>
        <w:t xml:space="preserve">Относно: </w:t>
      </w:r>
      <w:bookmarkStart w:id="0" w:name="_GoBack"/>
      <w:r w:rsidR="00030D13">
        <w:rPr>
          <w:rFonts w:asciiTheme="minorHAnsi" w:hAnsiTheme="minorHAnsi"/>
          <w:sz w:val="24"/>
          <w:szCs w:val="24"/>
          <w:lang w:val="bg-BG"/>
        </w:rPr>
        <w:t>П</w:t>
      </w:r>
      <w:r w:rsidR="00030D13" w:rsidRPr="00030D13">
        <w:rPr>
          <w:rFonts w:asciiTheme="minorHAnsi" w:hAnsiTheme="minorHAnsi"/>
          <w:sz w:val="24"/>
          <w:szCs w:val="24"/>
          <w:lang w:val="bg-BG"/>
        </w:rPr>
        <w:t>роекта на Закон за бюджета на държавно</w:t>
      </w:r>
      <w:r w:rsidR="00030D13">
        <w:rPr>
          <w:rFonts w:asciiTheme="minorHAnsi" w:hAnsiTheme="minorHAnsi"/>
          <w:sz w:val="24"/>
          <w:szCs w:val="24"/>
          <w:lang w:val="bg-BG"/>
        </w:rPr>
        <w:t>т</w:t>
      </w:r>
      <w:r w:rsidR="00421366">
        <w:rPr>
          <w:rFonts w:asciiTheme="minorHAnsi" w:hAnsiTheme="minorHAnsi"/>
          <w:sz w:val="24"/>
          <w:szCs w:val="24"/>
          <w:lang w:val="bg-BG"/>
        </w:rPr>
        <w:t>о обществено осигуряване за 2021</w:t>
      </w:r>
      <w:r w:rsidR="00030D13" w:rsidRPr="00030D13">
        <w:rPr>
          <w:rFonts w:asciiTheme="minorHAnsi" w:hAnsiTheme="minorHAnsi"/>
          <w:sz w:val="24"/>
          <w:szCs w:val="24"/>
          <w:lang w:val="bg-BG"/>
        </w:rPr>
        <w:t xml:space="preserve"> г.</w:t>
      </w:r>
      <w:bookmarkEnd w:id="0"/>
    </w:p>
    <w:p w:rsidR="00BA27B5" w:rsidRPr="00030D13" w:rsidRDefault="00BA27B5" w:rsidP="00030D13">
      <w:pPr>
        <w:ind w:left="426" w:right="272"/>
        <w:jc w:val="center"/>
        <w:rPr>
          <w:rFonts w:asciiTheme="minorHAnsi" w:hAnsiTheme="minorHAnsi"/>
          <w:sz w:val="24"/>
          <w:szCs w:val="24"/>
          <w:lang w:val="bg-BG"/>
        </w:rPr>
      </w:pPr>
    </w:p>
    <w:p w:rsidR="00763B6D" w:rsidRPr="00E009DD" w:rsidRDefault="00763B6D" w:rsidP="00D11CFE">
      <w:pPr>
        <w:ind w:left="426" w:right="272"/>
        <w:rPr>
          <w:rFonts w:asciiTheme="minorHAnsi" w:hAnsiTheme="minorHAnsi"/>
          <w:sz w:val="24"/>
          <w:szCs w:val="24"/>
          <w:lang w:val="bg-BG"/>
        </w:rPr>
      </w:pPr>
    </w:p>
    <w:p w:rsidR="00763B6D" w:rsidRPr="00E009DD" w:rsidRDefault="00763B6D" w:rsidP="00D11CFE">
      <w:pPr>
        <w:ind w:left="426" w:right="272"/>
        <w:rPr>
          <w:rFonts w:asciiTheme="minorHAnsi" w:hAnsiTheme="minorHAnsi"/>
          <w:sz w:val="24"/>
          <w:szCs w:val="24"/>
          <w:lang w:val="bg-BG"/>
        </w:rPr>
      </w:pPr>
    </w:p>
    <w:p w:rsidR="0066416C" w:rsidRPr="00E009DD" w:rsidRDefault="00041B6B" w:rsidP="006B112F">
      <w:pPr>
        <w:ind w:left="426" w:right="272" w:firstLine="708"/>
        <w:rPr>
          <w:rFonts w:asciiTheme="minorHAnsi" w:hAnsiTheme="minorHAnsi"/>
          <w:b/>
          <w:sz w:val="24"/>
          <w:szCs w:val="24"/>
          <w:lang w:val="bg-BG"/>
        </w:rPr>
      </w:pPr>
      <w:r>
        <w:rPr>
          <w:rFonts w:asciiTheme="minorHAnsi" w:hAnsiTheme="minorHAnsi"/>
          <w:b/>
          <w:sz w:val="24"/>
          <w:szCs w:val="24"/>
          <w:lang w:val="bg-BG"/>
        </w:rPr>
        <w:t>УВАЖАЕМИ ДАМИ И ГОСПОДА</w:t>
      </w:r>
      <w:r w:rsidR="0038788B" w:rsidRPr="00E009DD">
        <w:rPr>
          <w:rFonts w:asciiTheme="minorHAnsi" w:hAnsiTheme="minorHAnsi"/>
          <w:b/>
          <w:sz w:val="24"/>
          <w:szCs w:val="24"/>
          <w:lang w:val="bg-BG"/>
        </w:rPr>
        <w:t>,</w:t>
      </w:r>
    </w:p>
    <w:p w:rsidR="00763B6D" w:rsidRPr="00763B6D" w:rsidRDefault="00763B6D" w:rsidP="00D11CFE">
      <w:pPr>
        <w:ind w:left="426" w:right="272"/>
        <w:rPr>
          <w:rFonts w:asciiTheme="minorHAnsi" w:hAnsiTheme="minorHAnsi"/>
          <w:b/>
          <w:sz w:val="28"/>
          <w:szCs w:val="28"/>
          <w:lang w:val="bg-BG"/>
        </w:rPr>
      </w:pPr>
    </w:p>
    <w:p w:rsidR="006F6F90" w:rsidRDefault="006F6F90" w:rsidP="00AB00C5">
      <w:pPr>
        <w:ind w:left="426" w:right="272" w:firstLine="708"/>
        <w:jc w:val="both"/>
        <w:rPr>
          <w:rFonts w:asciiTheme="minorHAnsi" w:hAnsiTheme="minorHAnsi"/>
          <w:sz w:val="24"/>
          <w:szCs w:val="24"/>
          <w:lang w:val="bg-BG"/>
        </w:rPr>
      </w:pPr>
      <w:r>
        <w:rPr>
          <w:rFonts w:asciiTheme="minorHAnsi" w:hAnsiTheme="minorHAnsi"/>
          <w:sz w:val="24"/>
          <w:szCs w:val="24"/>
          <w:lang w:val="bg-BG"/>
        </w:rPr>
        <w:t xml:space="preserve">КТ „Подкрепа“ </w:t>
      </w:r>
      <w:r w:rsidR="00590BD2">
        <w:rPr>
          <w:rFonts w:asciiTheme="minorHAnsi" w:hAnsiTheme="minorHAnsi"/>
          <w:sz w:val="24"/>
          <w:szCs w:val="24"/>
          <w:lang w:val="bg-BG"/>
        </w:rPr>
        <w:t>подкрепя заложеното повишаване на някои разходи на ДОО, същевременно подчертаваме, че едновременно с това е задължително да се вземат спешни мерки за укрепване на приходната част на бюджета, така че без сътресение да се посрещнат увеличените разходи</w:t>
      </w:r>
      <w:r>
        <w:rPr>
          <w:rFonts w:asciiTheme="minorHAnsi" w:hAnsiTheme="minorHAnsi"/>
          <w:sz w:val="24"/>
          <w:szCs w:val="24"/>
          <w:lang w:val="bg-BG"/>
        </w:rPr>
        <w:t>.</w:t>
      </w:r>
      <w:r w:rsidR="00590BD2">
        <w:rPr>
          <w:rFonts w:asciiTheme="minorHAnsi" w:hAnsiTheme="minorHAnsi"/>
          <w:sz w:val="24"/>
          <w:szCs w:val="24"/>
          <w:lang w:val="bg-BG"/>
        </w:rPr>
        <w:t xml:space="preserve"> Именно поради липсата на решителни стъпки за изсветляване на сивата икономика и в частност – недекларираната заетост, проектът на Закон за бюджета на ДОО за следващата година дори сега не се отличава с необходимата доза справедливост и солидарност. Тук ще подчертаем ключови показатели и промени, които следва да бъдат променени.</w:t>
      </w:r>
    </w:p>
    <w:p w:rsidR="00FF0B6A" w:rsidRDefault="00FF0B6A" w:rsidP="00AB00C5">
      <w:pPr>
        <w:ind w:left="426" w:right="272" w:firstLine="708"/>
        <w:jc w:val="both"/>
        <w:rPr>
          <w:rFonts w:asciiTheme="minorHAnsi" w:hAnsiTheme="minorHAnsi"/>
          <w:sz w:val="24"/>
          <w:szCs w:val="24"/>
          <w:lang w:val="bg-BG"/>
        </w:rPr>
      </w:pPr>
    </w:p>
    <w:p w:rsidR="00FF0B6A" w:rsidRPr="00FF0B6A" w:rsidRDefault="00FF0B6A" w:rsidP="00AB00C5">
      <w:pPr>
        <w:ind w:left="426" w:right="272" w:firstLine="708"/>
        <w:jc w:val="both"/>
        <w:rPr>
          <w:rFonts w:asciiTheme="minorHAnsi" w:hAnsiTheme="minorHAnsi"/>
          <w:b/>
          <w:sz w:val="24"/>
          <w:szCs w:val="24"/>
          <w:lang w:val="bg-BG"/>
        </w:rPr>
      </w:pPr>
      <w:r w:rsidRPr="00FF0B6A">
        <w:rPr>
          <w:rFonts w:asciiTheme="minorHAnsi" w:hAnsiTheme="minorHAnsi"/>
          <w:b/>
          <w:sz w:val="24"/>
          <w:szCs w:val="24"/>
          <w:lang w:val="bg-BG"/>
        </w:rPr>
        <w:t>Осигурителни вноски</w:t>
      </w:r>
    </w:p>
    <w:p w:rsidR="00FF0B6A" w:rsidRDefault="00FF0B6A" w:rsidP="00AB00C5">
      <w:pPr>
        <w:ind w:left="426" w:right="272" w:firstLine="708"/>
        <w:jc w:val="both"/>
        <w:rPr>
          <w:rFonts w:asciiTheme="minorHAnsi" w:hAnsiTheme="minorHAnsi"/>
          <w:sz w:val="24"/>
          <w:szCs w:val="24"/>
          <w:lang w:val="bg-BG"/>
        </w:rPr>
      </w:pPr>
    </w:p>
    <w:p w:rsidR="00FF0B6A" w:rsidRDefault="00FF0B6A" w:rsidP="00FF0B6A">
      <w:pPr>
        <w:ind w:left="426" w:right="272" w:firstLine="708"/>
        <w:jc w:val="both"/>
        <w:rPr>
          <w:rFonts w:asciiTheme="minorHAnsi" w:hAnsiTheme="minorHAnsi"/>
          <w:sz w:val="24"/>
          <w:szCs w:val="24"/>
          <w:lang w:val="bg-BG"/>
        </w:rPr>
      </w:pPr>
      <w:r w:rsidRPr="00FF0B6A">
        <w:rPr>
          <w:rFonts w:asciiTheme="minorHAnsi" w:hAnsiTheme="minorHAnsi"/>
          <w:b/>
          <w:sz w:val="24"/>
          <w:szCs w:val="24"/>
          <w:lang w:val="bg-BG"/>
        </w:rPr>
        <w:t>1)</w:t>
      </w:r>
      <w:r w:rsidRPr="00A7259A">
        <w:rPr>
          <w:rFonts w:asciiTheme="minorHAnsi" w:hAnsiTheme="minorHAnsi"/>
          <w:sz w:val="24"/>
          <w:szCs w:val="24"/>
          <w:lang w:val="bg-BG"/>
        </w:rPr>
        <w:tab/>
      </w:r>
      <w:r w:rsidRPr="00FF0B6A">
        <w:rPr>
          <w:rFonts w:asciiTheme="minorHAnsi" w:hAnsiTheme="minorHAnsi"/>
          <w:b/>
          <w:sz w:val="24"/>
          <w:szCs w:val="24"/>
          <w:lang w:val="bg-BG"/>
        </w:rPr>
        <w:t>Без административно увеличение на минималните осигурителни доходи.</w:t>
      </w:r>
      <w:r>
        <w:rPr>
          <w:rFonts w:asciiTheme="minorHAnsi" w:hAnsiTheme="minorHAnsi"/>
          <w:sz w:val="24"/>
          <w:szCs w:val="24"/>
          <w:lang w:val="bg-BG"/>
        </w:rPr>
        <w:t xml:space="preserve"> Вследствие на бойкота на преговорите за определяне на МОД по икономически дейности от страна на работодателските организации, този механизъм се обезсмисли и не спомага за изсветляване на икономиката. За 2021 г. о</w:t>
      </w:r>
      <w:r w:rsidRPr="00A7259A">
        <w:rPr>
          <w:rFonts w:asciiTheme="minorHAnsi" w:hAnsiTheme="minorHAnsi"/>
          <w:sz w:val="24"/>
          <w:szCs w:val="24"/>
          <w:lang w:val="bg-BG"/>
        </w:rPr>
        <w:t>т</w:t>
      </w:r>
      <w:r>
        <w:rPr>
          <w:rFonts w:asciiTheme="minorHAnsi" w:hAnsiTheme="minorHAnsi"/>
          <w:sz w:val="24"/>
          <w:szCs w:val="24"/>
          <w:lang w:val="bg-BG"/>
        </w:rPr>
        <w:t xml:space="preserve"> общо 738 МОД</w:t>
      </w:r>
      <w:r w:rsidRPr="00A7259A">
        <w:rPr>
          <w:rFonts w:asciiTheme="minorHAnsi" w:hAnsiTheme="minorHAnsi"/>
          <w:sz w:val="24"/>
          <w:szCs w:val="24"/>
          <w:lang w:val="bg-BG"/>
        </w:rPr>
        <w:t xml:space="preserve">, 563 МОД са на нивото на МРЗ – 650 лв. </w:t>
      </w:r>
      <w:r>
        <w:rPr>
          <w:rFonts w:asciiTheme="minorHAnsi" w:hAnsiTheme="minorHAnsi"/>
          <w:sz w:val="24"/>
          <w:szCs w:val="24"/>
          <w:lang w:val="bg-BG"/>
        </w:rPr>
        <w:t>Това прави 76% от всички минимални осигурителни прагове</w:t>
      </w:r>
      <w:r w:rsidRPr="00A7259A">
        <w:rPr>
          <w:rFonts w:asciiTheme="minorHAnsi" w:hAnsiTheme="minorHAnsi"/>
          <w:sz w:val="24"/>
          <w:szCs w:val="24"/>
          <w:lang w:val="bg-BG"/>
        </w:rPr>
        <w:t xml:space="preserve">. Средното увеличение ще бъде 4,5%, но то е </w:t>
      </w:r>
      <w:r>
        <w:rPr>
          <w:rFonts w:asciiTheme="minorHAnsi" w:hAnsiTheme="minorHAnsi"/>
          <w:sz w:val="24"/>
          <w:szCs w:val="24"/>
          <w:lang w:val="bg-BG"/>
        </w:rPr>
        <w:t xml:space="preserve">резултат </w:t>
      </w:r>
      <w:r w:rsidRPr="00A7259A">
        <w:rPr>
          <w:rFonts w:asciiTheme="minorHAnsi" w:hAnsiTheme="minorHAnsi"/>
          <w:sz w:val="24"/>
          <w:szCs w:val="24"/>
          <w:lang w:val="bg-BG"/>
        </w:rPr>
        <w:t xml:space="preserve">само </w:t>
      </w:r>
      <w:r>
        <w:rPr>
          <w:rFonts w:asciiTheme="minorHAnsi" w:hAnsiTheme="minorHAnsi"/>
          <w:sz w:val="24"/>
          <w:szCs w:val="24"/>
          <w:lang w:val="bg-BG"/>
        </w:rPr>
        <w:t xml:space="preserve">и единствено </w:t>
      </w:r>
      <w:r w:rsidRPr="00A7259A">
        <w:rPr>
          <w:rFonts w:asciiTheme="minorHAnsi" w:hAnsiTheme="minorHAnsi"/>
          <w:sz w:val="24"/>
          <w:szCs w:val="24"/>
          <w:lang w:val="bg-BG"/>
        </w:rPr>
        <w:t>от увеличението на МРЗ на 650 лв.</w:t>
      </w:r>
      <w:r>
        <w:rPr>
          <w:rFonts w:asciiTheme="minorHAnsi" w:hAnsiTheme="minorHAnsi"/>
          <w:sz w:val="24"/>
          <w:szCs w:val="24"/>
          <w:lang w:val="bg-BG"/>
        </w:rPr>
        <w:t xml:space="preserve"> Когато двете страни – работодатели и работници не постигнат договореност за увеличаване на МОД, това може да бъде направено от </w:t>
      </w:r>
      <w:r w:rsidR="000D0403">
        <w:rPr>
          <w:rFonts w:asciiTheme="minorHAnsi" w:hAnsiTheme="minorHAnsi"/>
          <w:sz w:val="24"/>
          <w:szCs w:val="24"/>
          <w:lang w:val="bg-BG"/>
        </w:rPr>
        <w:t>управляващите. Призоваваме за осъвременяване на всички минимални осигурителни доходи с размер, който да компенсира изоставането от последните четири години. В унисон на това наше искане може да приложим становище на браншови работодателски организации, които подчертават, че обезсмислянето на МОД е източник на нелоялна конкуренция и поставя добросъвестните работодатели в неизгодна ситуация спрямо тези, които укриват осигурителни вноски.</w:t>
      </w:r>
    </w:p>
    <w:p w:rsidR="008C0E99" w:rsidRDefault="008C0E99" w:rsidP="00FF0B6A">
      <w:pPr>
        <w:ind w:left="426" w:right="272" w:firstLine="708"/>
        <w:jc w:val="both"/>
        <w:rPr>
          <w:rFonts w:asciiTheme="minorHAnsi" w:hAnsiTheme="minorHAnsi"/>
          <w:sz w:val="24"/>
          <w:szCs w:val="24"/>
          <w:lang w:val="bg-BG"/>
        </w:rPr>
      </w:pPr>
    </w:p>
    <w:p w:rsidR="008C0E99" w:rsidRPr="008C0E99" w:rsidRDefault="008C0E99" w:rsidP="00FF0B6A">
      <w:pPr>
        <w:ind w:left="426" w:right="272" w:firstLine="708"/>
        <w:jc w:val="both"/>
        <w:rPr>
          <w:rFonts w:asciiTheme="minorHAnsi" w:hAnsiTheme="minorHAnsi"/>
          <w:sz w:val="24"/>
          <w:szCs w:val="24"/>
          <w:lang w:val="bg-BG"/>
        </w:rPr>
      </w:pPr>
      <w:r w:rsidRPr="001913BF">
        <w:rPr>
          <w:rFonts w:asciiTheme="minorHAnsi" w:hAnsiTheme="minorHAnsi"/>
          <w:b/>
          <w:sz w:val="24"/>
          <w:szCs w:val="24"/>
          <w:lang w:val="bg-BG"/>
        </w:rPr>
        <w:t>2</w:t>
      </w:r>
      <w:r w:rsidRPr="001913BF">
        <w:rPr>
          <w:rFonts w:asciiTheme="minorHAnsi" w:hAnsiTheme="minorHAnsi"/>
          <w:b/>
          <w:sz w:val="24"/>
          <w:szCs w:val="24"/>
        </w:rPr>
        <w:t>)</w:t>
      </w:r>
      <w:r>
        <w:rPr>
          <w:rFonts w:asciiTheme="minorHAnsi" w:hAnsiTheme="minorHAnsi"/>
          <w:sz w:val="24"/>
          <w:szCs w:val="24"/>
        </w:rPr>
        <w:t xml:space="preserve"> </w:t>
      </w:r>
      <w:r>
        <w:rPr>
          <w:rFonts w:asciiTheme="minorHAnsi" w:hAnsiTheme="minorHAnsi"/>
          <w:sz w:val="24"/>
          <w:szCs w:val="24"/>
          <w:lang w:val="bg-BG"/>
        </w:rPr>
        <w:t xml:space="preserve">Въпреки първоначалните намерения на правителството, отново се </w:t>
      </w:r>
      <w:r w:rsidRPr="001913BF">
        <w:rPr>
          <w:rFonts w:asciiTheme="minorHAnsi" w:hAnsiTheme="minorHAnsi"/>
          <w:b/>
          <w:sz w:val="24"/>
          <w:szCs w:val="24"/>
          <w:lang w:val="bg-BG"/>
        </w:rPr>
        <w:t xml:space="preserve">замразява максималният осигурителен доход на 3000 лв. </w:t>
      </w:r>
      <w:r>
        <w:rPr>
          <w:rFonts w:asciiTheme="minorHAnsi" w:hAnsiTheme="minorHAnsi"/>
          <w:sz w:val="24"/>
          <w:szCs w:val="24"/>
          <w:lang w:val="bg-BG"/>
        </w:rPr>
        <w:t xml:space="preserve">Това нанася </w:t>
      </w:r>
      <w:r w:rsidRPr="001913BF">
        <w:rPr>
          <w:rFonts w:asciiTheme="minorHAnsi" w:hAnsiTheme="minorHAnsi"/>
          <w:b/>
          <w:sz w:val="24"/>
          <w:szCs w:val="24"/>
          <w:lang w:val="bg-BG"/>
        </w:rPr>
        <w:t>непоправими щети</w:t>
      </w:r>
      <w:r>
        <w:rPr>
          <w:rFonts w:asciiTheme="minorHAnsi" w:hAnsiTheme="minorHAnsi"/>
          <w:sz w:val="24"/>
          <w:szCs w:val="24"/>
          <w:lang w:val="bg-BG"/>
        </w:rPr>
        <w:t xml:space="preserve"> върху приходите на осигурителните фондове и не позволява адекватно осъвременяване на всички обезщетения. Не само това – поради липсата на достатъчни средства, не спират опитите за налагане на </w:t>
      </w:r>
      <w:r>
        <w:rPr>
          <w:rFonts w:asciiTheme="minorHAnsi" w:hAnsiTheme="minorHAnsi"/>
          <w:sz w:val="24"/>
          <w:szCs w:val="24"/>
          <w:lang w:val="bg-BG"/>
        </w:rPr>
        <w:lastRenderedPageBreak/>
        <w:t xml:space="preserve">допълнителни ограничения за достъп до всички плащания от Националия осигурителен институт. Когато възпрепятстваш приходите, единственото, което ти остава, е да ограничиш и разходите. </w:t>
      </w:r>
      <w:r w:rsidR="001913BF">
        <w:rPr>
          <w:rFonts w:asciiTheme="minorHAnsi" w:hAnsiTheme="minorHAnsi"/>
          <w:sz w:val="24"/>
          <w:szCs w:val="24"/>
          <w:lang w:val="bg-BG"/>
        </w:rPr>
        <w:t xml:space="preserve">КТ „Подкрепа“ напомня, че заложеният принцип още при въвеждането на таван на осигуровките е той да бъде в размер 10 пъти минималната работна заплата или 6500 лв. за 2021 г. Вече е под 50% от този размер. Както предложихме при обсъждането на данъчните промени, това лишава бюджета на ДОО от 2-3 млрд. лв. Настояваме да бъде преразгледан подхода към максималния осигурителен доход, да бъде възприет някой от </w:t>
      </w:r>
      <w:hyperlink r:id="rId8" w:history="1">
        <w:r w:rsidR="001913BF" w:rsidRPr="001913BF">
          <w:rPr>
            <w:rStyle w:val="Hyperlink"/>
            <w:rFonts w:asciiTheme="minorHAnsi" w:hAnsiTheme="minorHAnsi"/>
            <w:sz w:val="24"/>
            <w:szCs w:val="24"/>
            <w:lang w:val="bg-BG"/>
          </w:rPr>
          <w:t>предложените от нас варианти</w:t>
        </w:r>
      </w:hyperlink>
      <w:r w:rsidR="001913BF">
        <w:rPr>
          <w:rFonts w:asciiTheme="minorHAnsi" w:hAnsiTheme="minorHAnsi"/>
          <w:sz w:val="24"/>
          <w:szCs w:val="24"/>
          <w:lang w:val="bg-BG"/>
        </w:rPr>
        <w:t xml:space="preserve"> – увеличение на максималния осигурителен доход на 5000 лв. или отпадането на тавана въобще, за да бъдат осигурени достатъчно средства за изпълнение на поетите към осигурените лица задължения.</w:t>
      </w:r>
    </w:p>
    <w:p w:rsidR="00FF0B6A" w:rsidRDefault="00FF0B6A" w:rsidP="00FF0B6A">
      <w:pPr>
        <w:ind w:left="426" w:right="272" w:firstLine="708"/>
        <w:jc w:val="both"/>
        <w:rPr>
          <w:rFonts w:asciiTheme="minorHAnsi" w:hAnsiTheme="minorHAnsi"/>
          <w:sz w:val="24"/>
          <w:szCs w:val="24"/>
          <w:lang w:val="bg-BG"/>
        </w:rPr>
      </w:pPr>
    </w:p>
    <w:p w:rsidR="00FF0B6A" w:rsidRPr="00A7259A" w:rsidRDefault="001913BF" w:rsidP="008C0E99">
      <w:pPr>
        <w:ind w:left="426" w:right="272" w:firstLine="564"/>
        <w:jc w:val="both"/>
        <w:rPr>
          <w:rFonts w:asciiTheme="minorHAnsi" w:hAnsiTheme="minorHAnsi"/>
          <w:sz w:val="24"/>
          <w:szCs w:val="24"/>
          <w:lang w:val="bg-BG"/>
        </w:rPr>
      </w:pPr>
      <w:r>
        <w:rPr>
          <w:rFonts w:asciiTheme="minorHAnsi" w:hAnsiTheme="minorHAnsi"/>
          <w:b/>
          <w:sz w:val="24"/>
          <w:szCs w:val="24"/>
          <w:lang w:val="bg-BG"/>
        </w:rPr>
        <w:t>3</w:t>
      </w:r>
      <w:r w:rsidR="008C0E99" w:rsidRPr="008C0E99">
        <w:rPr>
          <w:rFonts w:asciiTheme="minorHAnsi" w:hAnsiTheme="minorHAnsi"/>
          <w:b/>
          <w:sz w:val="24"/>
          <w:szCs w:val="24"/>
        </w:rPr>
        <w:t>)</w:t>
      </w:r>
      <w:r w:rsidR="008C0E99">
        <w:rPr>
          <w:rFonts w:asciiTheme="minorHAnsi" w:hAnsiTheme="minorHAnsi"/>
          <w:sz w:val="24"/>
          <w:szCs w:val="24"/>
        </w:rPr>
        <w:t xml:space="preserve"> </w:t>
      </w:r>
      <w:r w:rsidR="008C0E99">
        <w:rPr>
          <w:rFonts w:asciiTheme="minorHAnsi" w:hAnsiTheme="minorHAnsi"/>
          <w:sz w:val="24"/>
          <w:szCs w:val="24"/>
          <w:lang w:val="bg-BG"/>
        </w:rPr>
        <w:t>Отново са замразени минималните осигурителни доходи</w:t>
      </w:r>
      <w:r w:rsidR="00FF0B6A" w:rsidRPr="00A7259A">
        <w:rPr>
          <w:rFonts w:asciiTheme="minorHAnsi" w:hAnsiTheme="minorHAnsi"/>
          <w:sz w:val="24"/>
          <w:szCs w:val="24"/>
          <w:lang w:val="bg-BG"/>
        </w:rPr>
        <w:t xml:space="preserve"> за земеделските производители и тютюнопроизводителите на 420 лв.</w:t>
      </w:r>
      <w:r>
        <w:rPr>
          <w:rFonts w:asciiTheme="minorHAnsi" w:hAnsiTheme="minorHAnsi"/>
          <w:sz w:val="24"/>
          <w:szCs w:val="24"/>
          <w:lang w:val="bg-BG"/>
        </w:rPr>
        <w:t xml:space="preserve"> Дългогодишното изоставане на МОД за тези групи осигурени лица ще доведе до отпускане впоследствие на минимална пенсия от НОИ. Така гарантираме укрепването на още една група бъдещи бедни български пенсионери. КТ „Подкрепа“ предлага МОД за земеделските производители и тютюнопроизводителите да стане в размер на минималната работна заплата.</w:t>
      </w:r>
    </w:p>
    <w:p w:rsidR="00FF0B6A" w:rsidRDefault="00FF0B6A" w:rsidP="00AB00C5">
      <w:pPr>
        <w:ind w:left="426" w:right="272" w:firstLine="708"/>
        <w:jc w:val="both"/>
        <w:rPr>
          <w:rFonts w:asciiTheme="minorHAnsi" w:hAnsiTheme="minorHAnsi"/>
          <w:sz w:val="24"/>
          <w:szCs w:val="24"/>
          <w:lang w:val="bg-BG"/>
        </w:rPr>
      </w:pPr>
    </w:p>
    <w:p w:rsidR="00AC1AE1" w:rsidRDefault="00AC1AE1" w:rsidP="00AB00C5">
      <w:pPr>
        <w:ind w:left="426" w:right="272" w:firstLine="708"/>
        <w:jc w:val="both"/>
        <w:rPr>
          <w:rFonts w:asciiTheme="minorHAnsi" w:hAnsiTheme="minorHAnsi"/>
          <w:sz w:val="24"/>
          <w:szCs w:val="24"/>
          <w:lang w:val="bg-BG"/>
        </w:rPr>
      </w:pPr>
    </w:p>
    <w:p w:rsidR="00AC1AE1" w:rsidRPr="00AC1AE1" w:rsidRDefault="00AC1AE1" w:rsidP="00AB00C5">
      <w:pPr>
        <w:ind w:left="426" w:right="272" w:firstLine="708"/>
        <w:jc w:val="both"/>
        <w:rPr>
          <w:rFonts w:asciiTheme="minorHAnsi" w:hAnsiTheme="minorHAnsi"/>
          <w:b/>
          <w:sz w:val="24"/>
          <w:szCs w:val="24"/>
          <w:lang w:val="bg-BG"/>
        </w:rPr>
      </w:pPr>
      <w:r w:rsidRPr="00AC1AE1">
        <w:rPr>
          <w:rFonts w:asciiTheme="minorHAnsi" w:hAnsiTheme="minorHAnsi"/>
          <w:b/>
          <w:sz w:val="24"/>
          <w:szCs w:val="24"/>
          <w:lang w:val="bg-BG"/>
        </w:rPr>
        <w:t>Безработица и заетост</w:t>
      </w:r>
    </w:p>
    <w:p w:rsidR="001B09CE" w:rsidRDefault="001B09CE" w:rsidP="00AB00C5">
      <w:pPr>
        <w:ind w:left="426" w:right="272" w:firstLine="708"/>
        <w:jc w:val="both"/>
        <w:rPr>
          <w:rFonts w:asciiTheme="minorHAnsi" w:hAnsiTheme="minorHAnsi"/>
          <w:sz w:val="24"/>
          <w:szCs w:val="24"/>
          <w:lang w:val="bg-BG"/>
        </w:rPr>
      </w:pPr>
    </w:p>
    <w:p w:rsidR="001B09CE" w:rsidRDefault="001B09CE" w:rsidP="001B09CE">
      <w:pPr>
        <w:ind w:left="426" w:right="272" w:firstLine="708"/>
        <w:jc w:val="both"/>
        <w:rPr>
          <w:rFonts w:asciiTheme="minorHAnsi" w:hAnsiTheme="minorHAnsi"/>
          <w:sz w:val="24"/>
          <w:szCs w:val="24"/>
          <w:lang w:val="bg-BG"/>
        </w:rPr>
      </w:pPr>
      <w:r>
        <w:rPr>
          <w:rFonts w:asciiTheme="minorHAnsi" w:hAnsiTheme="minorHAnsi"/>
          <w:b/>
          <w:sz w:val="24"/>
          <w:szCs w:val="24"/>
          <w:lang w:val="bg-BG"/>
        </w:rPr>
        <w:t>1</w:t>
      </w:r>
      <w:r w:rsidRPr="001B09CE">
        <w:rPr>
          <w:rFonts w:asciiTheme="minorHAnsi" w:hAnsiTheme="minorHAnsi"/>
          <w:b/>
          <w:sz w:val="24"/>
          <w:szCs w:val="24"/>
          <w:lang w:val="bg-BG"/>
        </w:rPr>
        <w:t>)</w:t>
      </w:r>
      <w:r w:rsidRPr="001B09CE">
        <w:rPr>
          <w:rFonts w:asciiTheme="minorHAnsi" w:hAnsiTheme="minorHAnsi"/>
          <w:b/>
          <w:sz w:val="24"/>
          <w:szCs w:val="24"/>
          <w:lang w:val="bg-BG"/>
        </w:rPr>
        <w:tab/>
        <w:t>Минималното обезщетение за безработица</w:t>
      </w:r>
      <w:r w:rsidRPr="00A7259A">
        <w:rPr>
          <w:rFonts w:asciiTheme="minorHAnsi" w:hAnsiTheme="minorHAnsi"/>
          <w:sz w:val="24"/>
          <w:szCs w:val="24"/>
          <w:lang w:val="bg-BG"/>
        </w:rPr>
        <w:t xml:space="preserve"> се увеличи от 9 на 12 лв.</w:t>
      </w:r>
      <w:r>
        <w:rPr>
          <w:rFonts w:asciiTheme="minorHAnsi" w:hAnsiTheme="minorHAnsi"/>
          <w:sz w:val="24"/>
          <w:szCs w:val="24"/>
          <w:lang w:val="bg-BG"/>
        </w:rPr>
        <w:t xml:space="preserve"> вследствие на кризата от коронавирус</w:t>
      </w:r>
      <w:r w:rsidRPr="00A7259A">
        <w:rPr>
          <w:rFonts w:asciiTheme="minorHAnsi" w:hAnsiTheme="minorHAnsi"/>
          <w:sz w:val="24"/>
          <w:szCs w:val="24"/>
          <w:lang w:val="bg-BG"/>
        </w:rPr>
        <w:t xml:space="preserve">, но и </w:t>
      </w:r>
      <w:r>
        <w:rPr>
          <w:rFonts w:asciiTheme="minorHAnsi" w:hAnsiTheme="minorHAnsi"/>
          <w:sz w:val="24"/>
          <w:szCs w:val="24"/>
          <w:lang w:val="bg-BG"/>
        </w:rPr>
        <w:t>в настоящия размер то не позволява да бъдат посрещнати базови жизнени нужди</w:t>
      </w:r>
      <w:r w:rsidRPr="00A7259A">
        <w:rPr>
          <w:rFonts w:asciiTheme="minorHAnsi" w:hAnsiTheme="minorHAnsi"/>
          <w:sz w:val="24"/>
          <w:szCs w:val="24"/>
          <w:lang w:val="bg-BG"/>
        </w:rPr>
        <w:t>.</w:t>
      </w:r>
      <w:r>
        <w:rPr>
          <w:rFonts w:asciiTheme="minorHAnsi" w:hAnsiTheme="minorHAnsi"/>
          <w:sz w:val="24"/>
          <w:szCs w:val="24"/>
          <w:lang w:val="bg-BG"/>
        </w:rPr>
        <w:t xml:space="preserve"> Подчертаваме, че тук става въпрос за български граждани, които са внасяли осигурителни вноски срещу риска от безработица, но въпреки това са лишени от възможността да бъдат подкрепени в достатъчна степен в период, в който остават без възможност да получават трудови доходи. Този риск е особено висок, когато предприятията са и ще бъдат затруднени да поддържат нормална икономическа активност.</w:t>
      </w:r>
      <w:r w:rsidRPr="00A7259A">
        <w:rPr>
          <w:rFonts w:asciiTheme="minorHAnsi" w:hAnsiTheme="minorHAnsi"/>
          <w:sz w:val="24"/>
          <w:szCs w:val="24"/>
          <w:lang w:val="bg-BG"/>
        </w:rPr>
        <w:t xml:space="preserve"> </w:t>
      </w:r>
      <w:r w:rsidRPr="00AC1AE1">
        <w:rPr>
          <w:rFonts w:asciiTheme="minorHAnsi" w:hAnsiTheme="minorHAnsi"/>
          <w:b/>
          <w:sz w:val="24"/>
          <w:szCs w:val="24"/>
          <w:lang w:val="bg-BG"/>
        </w:rPr>
        <w:t>КТ „Подкрепа“ настоява размерът на дневното минимално обезщетение за безработица да стане 60% от минималната работна заплата – 18,60 лв.</w:t>
      </w:r>
      <w:r w:rsidRPr="00A7259A">
        <w:rPr>
          <w:rFonts w:asciiTheme="minorHAnsi" w:hAnsiTheme="minorHAnsi"/>
          <w:sz w:val="24"/>
          <w:szCs w:val="24"/>
          <w:lang w:val="bg-BG"/>
        </w:rPr>
        <w:t>, както и да се премахнат редица ограничения пред получаване на нормално обезщетение за безработица 60% от осигурителния доход</w:t>
      </w:r>
      <w:r>
        <w:rPr>
          <w:rFonts w:asciiTheme="minorHAnsi" w:hAnsiTheme="minorHAnsi"/>
          <w:sz w:val="24"/>
          <w:szCs w:val="24"/>
          <w:lang w:val="bg-BG"/>
        </w:rPr>
        <w:t>, които бяха наложени в последните години с цел ограничаване на разходите на фонд „Безработица“.</w:t>
      </w:r>
    </w:p>
    <w:p w:rsidR="00590BD2" w:rsidRDefault="00590BD2" w:rsidP="00AB00C5">
      <w:pPr>
        <w:ind w:left="426" w:right="272" w:firstLine="708"/>
        <w:jc w:val="both"/>
        <w:rPr>
          <w:rFonts w:asciiTheme="minorHAnsi" w:hAnsiTheme="minorHAnsi"/>
          <w:sz w:val="24"/>
          <w:szCs w:val="24"/>
          <w:lang w:val="bg-BG"/>
        </w:rPr>
      </w:pPr>
    </w:p>
    <w:p w:rsidR="00A7259A" w:rsidRDefault="001B09CE" w:rsidP="00A7259A">
      <w:pPr>
        <w:ind w:left="426" w:right="272" w:firstLine="708"/>
        <w:jc w:val="both"/>
        <w:rPr>
          <w:rFonts w:asciiTheme="minorHAnsi" w:hAnsiTheme="minorHAnsi"/>
          <w:sz w:val="24"/>
          <w:szCs w:val="24"/>
          <w:lang w:val="bg-BG"/>
        </w:rPr>
      </w:pPr>
      <w:r w:rsidRPr="001B09CE">
        <w:rPr>
          <w:rFonts w:asciiTheme="minorHAnsi" w:hAnsiTheme="minorHAnsi"/>
          <w:b/>
          <w:sz w:val="24"/>
          <w:szCs w:val="24"/>
          <w:lang w:val="bg-BG"/>
        </w:rPr>
        <w:t>2</w:t>
      </w:r>
      <w:r w:rsidR="00A7259A" w:rsidRPr="001B09CE">
        <w:rPr>
          <w:rFonts w:asciiTheme="minorHAnsi" w:hAnsiTheme="minorHAnsi"/>
          <w:b/>
          <w:sz w:val="24"/>
          <w:szCs w:val="24"/>
          <w:lang w:val="bg-BG"/>
        </w:rPr>
        <w:t>)</w:t>
      </w:r>
      <w:r w:rsidR="00A7259A" w:rsidRPr="00A7259A">
        <w:rPr>
          <w:rFonts w:asciiTheme="minorHAnsi" w:hAnsiTheme="minorHAnsi"/>
          <w:sz w:val="24"/>
          <w:szCs w:val="24"/>
          <w:lang w:val="bg-BG"/>
        </w:rPr>
        <w:tab/>
      </w:r>
      <w:r>
        <w:rPr>
          <w:rFonts w:asciiTheme="minorHAnsi" w:hAnsiTheme="minorHAnsi"/>
          <w:sz w:val="24"/>
          <w:szCs w:val="24"/>
          <w:lang w:val="bg-BG"/>
        </w:rPr>
        <w:t>Предвидено е запазване на</w:t>
      </w:r>
      <w:r w:rsidR="00A7259A" w:rsidRPr="00A7259A">
        <w:rPr>
          <w:rFonts w:asciiTheme="minorHAnsi" w:hAnsiTheme="minorHAnsi"/>
          <w:sz w:val="24"/>
          <w:szCs w:val="24"/>
          <w:lang w:val="bg-BG"/>
        </w:rPr>
        <w:t xml:space="preserve"> </w:t>
      </w:r>
      <w:r w:rsidR="00A7259A" w:rsidRPr="001B09CE">
        <w:rPr>
          <w:rFonts w:asciiTheme="minorHAnsi" w:hAnsiTheme="minorHAnsi"/>
          <w:b/>
          <w:sz w:val="24"/>
          <w:szCs w:val="24"/>
          <w:lang w:val="bg-BG"/>
        </w:rPr>
        <w:t>максималното обезщетение за безработица</w:t>
      </w:r>
      <w:r w:rsidR="00A7259A" w:rsidRPr="00A7259A">
        <w:rPr>
          <w:rFonts w:asciiTheme="minorHAnsi" w:hAnsiTheme="minorHAnsi"/>
          <w:sz w:val="24"/>
          <w:szCs w:val="24"/>
          <w:lang w:val="bg-BG"/>
        </w:rPr>
        <w:t>, к</w:t>
      </w:r>
      <w:r>
        <w:rPr>
          <w:rFonts w:asciiTheme="minorHAnsi" w:hAnsiTheme="minorHAnsi"/>
          <w:sz w:val="24"/>
          <w:szCs w:val="24"/>
          <w:lang w:val="bg-BG"/>
        </w:rPr>
        <w:t xml:space="preserve">оето трябваше да се увеличи </w:t>
      </w:r>
      <w:r w:rsidR="00A7259A" w:rsidRPr="00A7259A">
        <w:rPr>
          <w:rFonts w:asciiTheme="minorHAnsi" w:hAnsiTheme="minorHAnsi"/>
          <w:sz w:val="24"/>
          <w:szCs w:val="24"/>
          <w:lang w:val="bg-BG"/>
        </w:rPr>
        <w:t>с увеличаването на максималния осигурителен доход на 3000 л</w:t>
      </w:r>
      <w:r>
        <w:rPr>
          <w:rFonts w:asciiTheme="minorHAnsi" w:hAnsiTheme="minorHAnsi"/>
          <w:sz w:val="24"/>
          <w:szCs w:val="24"/>
          <w:lang w:val="bg-BG"/>
        </w:rPr>
        <w:t>в. Още от миналата година таванът</w:t>
      </w:r>
      <w:r w:rsidR="00A7259A" w:rsidRPr="00A7259A">
        <w:rPr>
          <w:rFonts w:asciiTheme="minorHAnsi" w:hAnsiTheme="minorHAnsi"/>
          <w:sz w:val="24"/>
          <w:szCs w:val="24"/>
          <w:lang w:val="bg-BG"/>
        </w:rPr>
        <w:t xml:space="preserve"> на обезщетението не съответства на заложеното правило</w:t>
      </w:r>
      <w:r>
        <w:rPr>
          <w:rFonts w:asciiTheme="minorHAnsi" w:hAnsiTheme="minorHAnsi"/>
          <w:sz w:val="24"/>
          <w:szCs w:val="24"/>
          <w:lang w:val="bg-BG"/>
        </w:rPr>
        <w:t xml:space="preserve"> той да бъде</w:t>
      </w:r>
      <w:r w:rsidR="00A7259A" w:rsidRPr="00A7259A">
        <w:rPr>
          <w:rFonts w:asciiTheme="minorHAnsi" w:hAnsiTheme="minorHAnsi"/>
          <w:sz w:val="24"/>
          <w:szCs w:val="24"/>
          <w:lang w:val="bg-BG"/>
        </w:rPr>
        <w:t xml:space="preserve"> 60% от осигурителния доход. </w:t>
      </w:r>
      <w:r>
        <w:rPr>
          <w:rFonts w:asciiTheme="minorHAnsi" w:hAnsiTheme="minorHAnsi"/>
          <w:sz w:val="24"/>
          <w:szCs w:val="24"/>
          <w:lang w:val="bg-BG"/>
        </w:rPr>
        <w:t xml:space="preserve">Неприемливо и необосновано е предложеното </w:t>
      </w:r>
      <w:r w:rsidR="00A7259A" w:rsidRPr="00A7259A">
        <w:rPr>
          <w:rFonts w:asciiTheme="minorHAnsi" w:hAnsiTheme="minorHAnsi"/>
          <w:sz w:val="24"/>
          <w:szCs w:val="24"/>
          <w:lang w:val="bg-BG"/>
        </w:rPr>
        <w:t>зам</w:t>
      </w:r>
      <w:r>
        <w:rPr>
          <w:rFonts w:asciiTheme="minorHAnsi" w:hAnsiTheme="minorHAnsi"/>
          <w:sz w:val="24"/>
          <w:szCs w:val="24"/>
          <w:lang w:val="bg-BG"/>
        </w:rPr>
        <w:t xml:space="preserve">разяване на ниво от 74,49 лв., настояваме тази несправедливост да бъде коригирана и </w:t>
      </w:r>
      <w:r w:rsidRPr="00AC1AE1">
        <w:rPr>
          <w:rFonts w:asciiTheme="minorHAnsi" w:hAnsiTheme="minorHAnsi"/>
          <w:b/>
          <w:sz w:val="24"/>
          <w:szCs w:val="24"/>
          <w:lang w:val="bg-BG"/>
        </w:rPr>
        <w:t xml:space="preserve">максималното дневно обезщетение за безработица да </w:t>
      </w:r>
      <w:r w:rsidR="00A7259A" w:rsidRPr="00AC1AE1">
        <w:rPr>
          <w:rFonts w:asciiTheme="minorHAnsi" w:hAnsiTheme="minorHAnsi"/>
          <w:b/>
          <w:sz w:val="24"/>
          <w:szCs w:val="24"/>
          <w:lang w:val="bg-BG"/>
        </w:rPr>
        <w:t>стане 85,70 лв.</w:t>
      </w:r>
    </w:p>
    <w:p w:rsidR="00AC1AE1" w:rsidRDefault="00AC1AE1" w:rsidP="00A7259A">
      <w:pPr>
        <w:ind w:left="426" w:right="272" w:firstLine="708"/>
        <w:jc w:val="both"/>
        <w:rPr>
          <w:rFonts w:asciiTheme="minorHAnsi" w:hAnsiTheme="minorHAnsi"/>
          <w:sz w:val="24"/>
          <w:szCs w:val="24"/>
          <w:lang w:val="bg-BG"/>
        </w:rPr>
      </w:pPr>
    </w:p>
    <w:p w:rsidR="00AC1AE1" w:rsidRPr="00A7259A" w:rsidRDefault="00AC1AE1" w:rsidP="00A7259A">
      <w:pPr>
        <w:ind w:left="426" w:right="272" w:firstLine="708"/>
        <w:jc w:val="both"/>
        <w:rPr>
          <w:rFonts w:asciiTheme="minorHAnsi" w:hAnsiTheme="minorHAnsi"/>
          <w:sz w:val="24"/>
          <w:szCs w:val="24"/>
          <w:lang w:val="bg-BG"/>
        </w:rPr>
      </w:pPr>
      <w:r w:rsidRPr="00AC1AE1">
        <w:rPr>
          <w:rFonts w:asciiTheme="minorHAnsi" w:hAnsiTheme="minorHAnsi"/>
          <w:b/>
          <w:sz w:val="24"/>
          <w:szCs w:val="24"/>
          <w:lang w:val="bg-BG"/>
        </w:rPr>
        <w:t>3)</w:t>
      </w:r>
      <w:r>
        <w:rPr>
          <w:rFonts w:asciiTheme="minorHAnsi" w:hAnsiTheme="minorHAnsi"/>
          <w:sz w:val="24"/>
          <w:szCs w:val="24"/>
          <w:lang w:val="bg-BG"/>
        </w:rPr>
        <w:t xml:space="preserve"> </w:t>
      </w:r>
      <w:r w:rsidRPr="00AC1AE1">
        <w:rPr>
          <w:rFonts w:asciiTheme="minorHAnsi" w:hAnsiTheme="minorHAnsi"/>
          <w:sz w:val="24"/>
          <w:szCs w:val="24"/>
          <w:lang w:val="bg-BG"/>
        </w:rPr>
        <w:t xml:space="preserve">Създава се отделно перо „Други програми и дейности за осигуряване на заетост“, от който ще се изплащат средства на работодателите за запазване на заетостта. </w:t>
      </w:r>
      <w:r>
        <w:rPr>
          <w:rFonts w:asciiTheme="minorHAnsi" w:hAnsiTheme="minorHAnsi"/>
          <w:sz w:val="24"/>
          <w:szCs w:val="24"/>
          <w:lang w:val="bg-BG"/>
        </w:rPr>
        <w:t xml:space="preserve">КТ „Подкрепа“ приветства предвиждането на средства за подпомагане на заетостта, но подчертава, че средствата са твърде малко – </w:t>
      </w:r>
      <w:r w:rsidRPr="00AC1AE1">
        <w:rPr>
          <w:rFonts w:asciiTheme="minorHAnsi" w:hAnsiTheme="minorHAnsi"/>
          <w:sz w:val="24"/>
          <w:szCs w:val="24"/>
          <w:lang w:val="bg-BG"/>
        </w:rPr>
        <w:t xml:space="preserve">300 млн. лв. за цялата </w:t>
      </w:r>
      <w:r>
        <w:rPr>
          <w:rFonts w:asciiTheme="minorHAnsi" w:hAnsiTheme="minorHAnsi"/>
          <w:sz w:val="24"/>
          <w:szCs w:val="24"/>
          <w:lang w:val="bg-BG"/>
        </w:rPr>
        <w:t xml:space="preserve">2021 г. Напомняме, че </w:t>
      </w:r>
      <w:r w:rsidRPr="00AC1AE1">
        <w:rPr>
          <w:rFonts w:asciiTheme="minorHAnsi" w:hAnsiTheme="minorHAnsi"/>
          <w:sz w:val="24"/>
          <w:szCs w:val="24"/>
          <w:lang w:val="bg-BG"/>
        </w:rPr>
        <w:t xml:space="preserve">само </w:t>
      </w:r>
      <w:r>
        <w:rPr>
          <w:rFonts w:asciiTheme="minorHAnsi" w:hAnsiTheme="minorHAnsi"/>
          <w:sz w:val="24"/>
          <w:szCs w:val="24"/>
          <w:lang w:val="bg-BG"/>
        </w:rPr>
        <w:t>по време на</w:t>
      </w:r>
      <w:r w:rsidRPr="00AC1AE1">
        <w:rPr>
          <w:rFonts w:asciiTheme="minorHAnsi" w:hAnsiTheme="minorHAnsi"/>
          <w:sz w:val="24"/>
          <w:szCs w:val="24"/>
          <w:lang w:val="bg-BG"/>
        </w:rPr>
        <w:t xml:space="preserve"> </w:t>
      </w:r>
      <w:r w:rsidRPr="00AC1AE1">
        <w:rPr>
          <w:rFonts w:asciiTheme="minorHAnsi" w:hAnsiTheme="minorHAnsi"/>
          <w:sz w:val="24"/>
          <w:szCs w:val="24"/>
          <w:lang w:val="bg-BG"/>
        </w:rPr>
        <w:lastRenderedPageBreak/>
        <w:t xml:space="preserve">извънредното положение през настоящата година, при </w:t>
      </w:r>
      <w:r>
        <w:rPr>
          <w:rFonts w:asciiTheme="minorHAnsi" w:hAnsiTheme="minorHAnsi"/>
          <w:sz w:val="24"/>
          <w:szCs w:val="24"/>
          <w:lang w:val="bg-BG"/>
        </w:rPr>
        <w:t>заложени твърде рестриктивни  критерии за достъп до мярката „</w:t>
      </w:r>
      <w:r w:rsidRPr="00AC1AE1">
        <w:rPr>
          <w:rFonts w:asciiTheme="minorHAnsi" w:hAnsiTheme="minorHAnsi"/>
          <w:sz w:val="24"/>
          <w:szCs w:val="24"/>
          <w:lang w:val="bg-BG"/>
        </w:rPr>
        <w:t>60/40</w:t>
      </w:r>
      <w:r>
        <w:rPr>
          <w:rFonts w:asciiTheme="minorHAnsi" w:hAnsiTheme="minorHAnsi"/>
          <w:sz w:val="24"/>
          <w:szCs w:val="24"/>
          <w:lang w:val="bg-BG"/>
        </w:rPr>
        <w:t>“</w:t>
      </w:r>
      <w:r w:rsidRPr="00AC1AE1">
        <w:rPr>
          <w:rFonts w:asciiTheme="minorHAnsi" w:hAnsiTheme="minorHAnsi"/>
          <w:sz w:val="24"/>
          <w:szCs w:val="24"/>
          <w:lang w:val="bg-BG"/>
        </w:rPr>
        <w:t xml:space="preserve"> бяха нужни 185 млн. лв.</w:t>
      </w:r>
    </w:p>
    <w:p w:rsidR="00A7259A" w:rsidRPr="00A7259A" w:rsidRDefault="00A7259A" w:rsidP="00A7259A">
      <w:pPr>
        <w:ind w:left="426" w:right="272" w:firstLine="708"/>
        <w:jc w:val="both"/>
        <w:rPr>
          <w:rFonts w:asciiTheme="minorHAnsi" w:hAnsiTheme="minorHAnsi"/>
          <w:sz w:val="24"/>
          <w:szCs w:val="24"/>
          <w:lang w:val="bg-BG"/>
        </w:rPr>
      </w:pPr>
    </w:p>
    <w:p w:rsidR="00BD4FE6" w:rsidRDefault="00BD4FE6" w:rsidP="00A7259A">
      <w:pPr>
        <w:ind w:left="426" w:right="272" w:firstLine="708"/>
        <w:jc w:val="both"/>
        <w:rPr>
          <w:rFonts w:asciiTheme="minorHAnsi" w:hAnsiTheme="minorHAnsi"/>
          <w:sz w:val="24"/>
          <w:szCs w:val="24"/>
          <w:lang w:val="bg-BG"/>
        </w:rPr>
      </w:pPr>
    </w:p>
    <w:p w:rsidR="00BD4FE6" w:rsidRPr="00FB2BCC" w:rsidRDefault="00FB2BCC" w:rsidP="00A7259A">
      <w:pPr>
        <w:ind w:left="426" w:right="272" w:firstLine="708"/>
        <w:jc w:val="both"/>
        <w:rPr>
          <w:rFonts w:asciiTheme="minorHAnsi" w:hAnsiTheme="minorHAnsi"/>
          <w:b/>
          <w:sz w:val="24"/>
          <w:szCs w:val="24"/>
          <w:lang w:val="bg-BG"/>
        </w:rPr>
      </w:pPr>
      <w:r w:rsidRPr="00FB2BCC">
        <w:rPr>
          <w:rFonts w:asciiTheme="minorHAnsi" w:hAnsiTheme="minorHAnsi"/>
          <w:b/>
          <w:sz w:val="24"/>
          <w:szCs w:val="24"/>
          <w:lang w:val="bg-BG"/>
        </w:rPr>
        <w:t>Пенсии</w:t>
      </w:r>
    </w:p>
    <w:p w:rsidR="00FB2BCC" w:rsidRDefault="00FB2BCC" w:rsidP="00A7259A">
      <w:pPr>
        <w:ind w:left="426" w:right="272" w:firstLine="708"/>
        <w:jc w:val="both"/>
        <w:rPr>
          <w:rFonts w:asciiTheme="minorHAnsi" w:hAnsiTheme="minorHAnsi"/>
          <w:sz w:val="24"/>
          <w:szCs w:val="24"/>
          <w:lang w:val="bg-BG"/>
        </w:rPr>
      </w:pPr>
      <w:r>
        <w:rPr>
          <w:rFonts w:asciiTheme="minorHAnsi" w:hAnsiTheme="minorHAnsi"/>
          <w:sz w:val="24"/>
          <w:szCs w:val="24"/>
          <w:lang w:val="bg-BG"/>
        </w:rPr>
        <w:t>Подкрепяме заложеното увеличение на минималната пенсия на 300 лв. и обръщаме внимание, че дори в този размер тя е под линията на бедност, която ще бъде 369 лв. през следващата година. Критиките по темата, които акцентират върху ефекта на сближаването на различните пенсии, имат резон, но само във връзка с необходимото преизчисляване на всички пенсии, не като аргумент срещу увеличението на минималната пенсия.</w:t>
      </w:r>
    </w:p>
    <w:p w:rsidR="00FB2BCC" w:rsidRDefault="00FB2BCC" w:rsidP="00A7259A">
      <w:pPr>
        <w:ind w:left="426" w:right="272" w:firstLine="708"/>
        <w:jc w:val="both"/>
        <w:rPr>
          <w:rFonts w:asciiTheme="minorHAnsi" w:hAnsiTheme="minorHAnsi"/>
          <w:sz w:val="24"/>
          <w:szCs w:val="24"/>
          <w:lang w:val="bg-BG"/>
        </w:rPr>
      </w:pPr>
      <w:r>
        <w:rPr>
          <w:rFonts w:asciiTheme="minorHAnsi" w:hAnsiTheme="minorHAnsi"/>
          <w:sz w:val="24"/>
          <w:szCs w:val="24"/>
          <w:lang w:val="bg-BG"/>
        </w:rPr>
        <w:t xml:space="preserve">По отношение на добавките в размер на 50 лв. за първите три месеца на 2021 г. също изразяваме одобрение. Вярно е, че кризата на доходите във връзка с икономическите затруднения от </w:t>
      </w:r>
      <w:r>
        <w:rPr>
          <w:rFonts w:asciiTheme="minorHAnsi" w:hAnsiTheme="minorHAnsi"/>
          <w:sz w:val="24"/>
          <w:szCs w:val="24"/>
        </w:rPr>
        <w:t>COVID-19</w:t>
      </w:r>
      <w:r>
        <w:rPr>
          <w:rFonts w:asciiTheme="minorHAnsi" w:hAnsiTheme="minorHAnsi"/>
          <w:sz w:val="24"/>
          <w:szCs w:val="24"/>
          <w:lang w:val="bg-BG"/>
        </w:rPr>
        <w:t xml:space="preserve"> не се отразява на пенсионерите. Но това е начин за подкрепа на най-ниските пенсии, която трябваше да се случи отдавна, макар и не точно по този начин.</w:t>
      </w:r>
    </w:p>
    <w:p w:rsidR="00A34211" w:rsidRDefault="00A34211" w:rsidP="00A7259A">
      <w:pPr>
        <w:ind w:left="426" w:right="272" w:firstLine="708"/>
        <w:jc w:val="both"/>
        <w:rPr>
          <w:rFonts w:asciiTheme="minorHAnsi" w:hAnsiTheme="minorHAnsi"/>
          <w:sz w:val="24"/>
          <w:szCs w:val="24"/>
          <w:lang w:val="bg-BG"/>
        </w:rPr>
      </w:pPr>
    </w:p>
    <w:p w:rsidR="00A34211" w:rsidRPr="00A34211" w:rsidRDefault="00A34211" w:rsidP="00A7259A">
      <w:pPr>
        <w:ind w:left="426" w:right="272" w:firstLine="708"/>
        <w:jc w:val="both"/>
        <w:rPr>
          <w:rFonts w:asciiTheme="minorHAnsi" w:hAnsiTheme="minorHAnsi"/>
          <w:sz w:val="24"/>
          <w:szCs w:val="24"/>
          <w:lang w:val="bg-BG"/>
        </w:rPr>
      </w:pPr>
      <w:r w:rsidRPr="00A34211">
        <w:rPr>
          <w:rFonts w:asciiTheme="minorHAnsi" w:hAnsiTheme="minorHAnsi"/>
          <w:b/>
          <w:sz w:val="24"/>
          <w:szCs w:val="24"/>
          <w:lang w:val="bg-BG"/>
        </w:rPr>
        <w:t>1</w:t>
      </w:r>
      <w:r w:rsidRPr="00A34211">
        <w:rPr>
          <w:rFonts w:asciiTheme="minorHAnsi" w:hAnsiTheme="minorHAnsi"/>
          <w:b/>
          <w:sz w:val="24"/>
          <w:szCs w:val="24"/>
        </w:rPr>
        <w:t>)</w:t>
      </w:r>
      <w:r>
        <w:rPr>
          <w:rFonts w:asciiTheme="minorHAnsi" w:hAnsiTheme="minorHAnsi"/>
          <w:sz w:val="24"/>
          <w:szCs w:val="24"/>
        </w:rPr>
        <w:t xml:space="preserve"> </w:t>
      </w:r>
      <w:r w:rsidRPr="00A83CC7">
        <w:rPr>
          <w:rFonts w:asciiTheme="minorHAnsi" w:hAnsiTheme="minorHAnsi"/>
          <w:b/>
          <w:sz w:val="24"/>
          <w:szCs w:val="24"/>
          <w:lang w:val="bg-BG"/>
        </w:rPr>
        <w:t>Преизчисляване на старите пенсии</w:t>
      </w:r>
      <w:r>
        <w:rPr>
          <w:rFonts w:asciiTheme="minorHAnsi" w:hAnsiTheme="minorHAnsi"/>
          <w:sz w:val="24"/>
          <w:szCs w:val="24"/>
          <w:lang w:val="bg-BG"/>
        </w:rPr>
        <w:t xml:space="preserve"> – КТ „Подкрепа“ смята, че това е единственият справедлив начин за компенсиране на дългогодишното изоставане на „старите пенсии“. Всеизвестно е, че пенсионери с над 30-годишен трудов стаж получават минимална пенсия, която не отразява техния принос към данъчната и осигурителната система. Намираме, че преизчисляване към 2015 г. би коригирало тази несправедливост.</w:t>
      </w:r>
    </w:p>
    <w:p w:rsidR="00FB2BCC" w:rsidRDefault="00FB2BCC" w:rsidP="00A7259A">
      <w:pPr>
        <w:ind w:left="426" w:right="272" w:firstLine="708"/>
        <w:jc w:val="both"/>
        <w:rPr>
          <w:rFonts w:asciiTheme="minorHAnsi" w:hAnsiTheme="minorHAnsi"/>
          <w:sz w:val="24"/>
          <w:szCs w:val="24"/>
          <w:lang w:val="bg-BG"/>
        </w:rPr>
      </w:pPr>
    </w:p>
    <w:p w:rsidR="00A7259A" w:rsidRPr="00A7259A" w:rsidRDefault="00A34211" w:rsidP="00A7259A">
      <w:pPr>
        <w:ind w:left="426" w:right="272" w:firstLine="708"/>
        <w:jc w:val="both"/>
        <w:rPr>
          <w:rFonts w:asciiTheme="minorHAnsi" w:hAnsiTheme="minorHAnsi"/>
          <w:sz w:val="24"/>
          <w:szCs w:val="24"/>
          <w:lang w:val="bg-BG"/>
        </w:rPr>
      </w:pPr>
      <w:r w:rsidRPr="00A34211">
        <w:rPr>
          <w:rFonts w:asciiTheme="minorHAnsi" w:hAnsiTheme="minorHAnsi"/>
          <w:b/>
          <w:sz w:val="24"/>
          <w:szCs w:val="24"/>
          <w:lang w:val="bg-BG"/>
        </w:rPr>
        <w:t>2</w:t>
      </w:r>
      <w:r w:rsidR="00A7259A" w:rsidRPr="00A34211">
        <w:rPr>
          <w:rFonts w:asciiTheme="minorHAnsi" w:hAnsiTheme="minorHAnsi"/>
          <w:b/>
          <w:sz w:val="24"/>
          <w:szCs w:val="24"/>
          <w:lang w:val="bg-BG"/>
        </w:rPr>
        <w:t>)</w:t>
      </w:r>
      <w:r>
        <w:rPr>
          <w:rFonts w:asciiTheme="minorHAnsi" w:hAnsiTheme="minorHAnsi"/>
          <w:sz w:val="24"/>
          <w:szCs w:val="24"/>
          <w:lang w:val="bg-BG"/>
        </w:rPr>
        <w:t xml:space="preserve"> В проекта на Закон за бюджета на ДОО е заложено и увеличение на</w:t>
      </w:r>
      <w:r w:rsidR="00A7259A" w:rsidRPr="00A7259A">
        <w:rPr>
          <w:rFonts w:asciiTheme="minorHAnsi" w:hAnsiTheme="minorHAnsi"/>
          <w:sz w:val="24"/>
          <w:szCs w:val="24"/>
          <w:lang w:val="bg-BG"/>
        </w:rPr>
        <w:t xml:space="preserve"> </w:t>
      </w:r>
      <w:r w:rsidR="00A7259A" w:rsidRPr="00A83CC7">
        <w:rPr>
          <w:rFonts w:asciiTheme="minorHAnsi" w:hAnsiTheme="minorHAnsi"/>
          <w:b/>
          <w:sz w:val="24"/>
          <w:szCs w:val="24"/>
          <w:lang w:val="bg-BG"/>
        </w:rPr>
        <w:t>максималната пенсия</w:t>
      </w:r>
      <w:r w:rsidRPr="00A83CC7">
        <w:rPr>
          <w:rFonts w:asciiTheme="minorHAnsi" w:hAnsiTheme="minorHAnsi"/>
          <w:b/>
          <w:sz w:val="24"/>
          <w:szCs w:val="24"/>
          <w:lang w:val="bg-BG"/>
        </w:rPr>
        <w:t xml:space="preserve"> от 1200 лв.</w:t>
      </w:r>
      <w:r w:rsidR="00A7259A" w:rsidRPr="00A83CC7">
        <w:rPr>
          <w:rFonts w:asciiTheme="minorHAnsi" w:hAnsiTheme="minorHAnsi"/>
          <w:b/>
          <w:sz w:val="24"/>
          <w:szCs w:val="24"/>
          <w:lang w:val="bg-BG"/>
        </w:rPr>
        <w:t xml:space="preserve"> на 1440 лв.</w:t>
      </w:r>
      <w:r w:rsidR="00A7259A" w:rsidRPr="00A7259A">
        <w:rPr>
          <w:rFonts w:asciiTheme="minorHAnsi" w:hAnsiTheme="minorHAnsi"/>
          <w:sz w:val="24"/>
          <w:szCs w:val="24"/>
          <w:lang w:val="bg-BG"/>
        </w:rPr>
        <w:t xml:space="preserve"> </w:t>
      </w:r>
      <w:r>
        <w:rPr>
          <w:rFonts w:asciiTheme="minorHAnsi" w:hAnsiTheme="minorHAnsi"/>
          <w:sz w:val="24"/>
          <w:szCs w:val="24"/>
          <w:lang w:val="bg-BG"/>
        </w:rPr>
        <w:t>Тъй като се чуха аргументи, че така ще се запази съотношението минимална към максимална пенсии, напомняме, че подобно законово изискване</w:t>
      </w:r>
      <w:r w:rsidR="00A83CC7">
        <w:rPr>
          <w:rFonts w:asciiTheme="minorHAnsi" w:hAnsiTheme="minorHAnsi"/>
          <w:sz w:val="24"/>
          <w:szCs w:val="24"/>
          <w:lang w:val="bg-BG"/>
        </w:rPr>
        <w:t xml:space="preserve"> няма</w:t>
      </w:r>
      <w:r>
        <w:rPr>
          <w:rFonts w:asciiTheme="minorHAnsi" w:hAnsiTheme="minorHAnsi"/>
          <w:sz w:val="24"/>
          <w:szCs w:val="24"/>
          <w:lang w:val="bg-BG"/>
        </w:rPr>
        <w:t xml:space="preserve">! Има обаче правило, което постановява, че максималната пенсия следва да </w:t>
      </w:r>
      <w:r w:rsidR="00A7259A" w:rsidRPr="00A7259A">
        <w:rPr>
          <w:rFonts w:asciiTheme="minorHAnsi" w:hAnsiTheme="minorHAnsi"/>
          <w:sz w:val="24"/>
          <w:szCs w:val="24"/>
          <w:lang w:val="bg-BG"/>
        </w:rPr>
        <w:t>бъде</w:t>
      </w:r>
      <w:r>
        <w:rPr>
          <w:rFonts w:asciiTheme="minorHAnsi" w:hAnsiTheme="minorHAnsi"/>
          <w:sz w:val="24"/>
          <w:szCs w:val="24"/>
          <w:lang w:val="bg-BG"/>
        </w:rPr>
        <w:t xml:space="preserve"> в размер на</w:t>
      </w:r>
      <w:r w:rsidR="00A7259A" w:rsidRPr="00A7259A">
        <w:rPr>
          <w:rFonts w:asciiTheme="minorHAnsi" w:hAnsiTheme="minorHAnsi"/>
          <w:sz w:val="24"/>
          <w:szCs w:val="24"/>
          <w:lang w:val="bg-BG"/>
        </w:rPr>
        <w:t xml:space="preserve"> 40% от максималния осигурителен доход</w:t>
      </w:r>
      <w:r w:rsidR="00A83CC7">
        <w:rPr>
          <w:rFonts w:asciiTheme="minorHAnsi" w:hAnsiTheme="minorHAnsi"/>
          <w:sz w:val="24"/>
          <w:szCs w:val="24"/>
          <w:lang w:val="bg-BG"/>
        </w:rPr>
        <w:t xml:space="preserve"> </w:t>
      </w:r>
      <w:r w:rsidR="00A83CC7">
        <w:rPr>
          <w:rFonts w:asciiTheme="minorHAnsi" w:hAnsiTheme="minorHAnsi"/>
          <w:sz w:val="24"/>
          <w:szCs w:val="24"/>
        </w:rPr>
        <w:t>(</w:t>
      </w:r>
      <w:r w:rsidR="00A83CC7">
        <w:rPr>
          <w:rFonts w:asciiTheme="minorHAnsi" w:hAnsiTheme="minorHAnsi"/>
          <w:sz w:val="24"/>
          <w:szCs w:val="24"/>
          <w:lang w:val="bg-BG"/>
        </w:rPr>
        <w:t>параграф 6 от Преходните и заключителните разпоредби на КСО</w:t>
      </w:r>
      <w:r w:rsidR="00A83CC7">
        <w:rPr>
          <w:rFonts w:asciiTheme="minorHAnsi" w:hAnsiTheme="minorHAnsi"/>
          <w:sz w:val="24"/>
          <w:szCs w:val="24"/>
        </w:rPr>
        <w:t>)</w:t>
      </w:r>
      <w:r w:rsidR="00A7259A" w:rsidRPr="00A7259A">
        <w:rPr>
          <w:rFonts w:asciiTheme="minorHAnsi" w:hAnsiTheme="minorHAnsi"/>
          <w:sz w:val="24"/>
          <w:szCs w:val="24"/>
          <w:lang w:val="bg-BG"/>
        </w:rPr>
        <w:t>.</w:t>
      </w:r>
      <w:r w:rsidR="00A83CC7">
        <w:rPr>
          <w:rFonts w:asciiTheme="minorHAnsi" w:hAnsiTheme="minorHAnsi"/>
          <w:sz w:val="24"/>
          <w:szCs w:val="24"/>
          <w:lang w:val="bg-BG"/>
        </w:rPr>
        <w:t xml:space="preserve"> Няма никаква причина правилата да бъдат нарушавани, особено когато това не се налага от икономическата ситуация в страната.</w:t>
      </w:r>
    </w:p>
    <w:p w:rsidR="00A7259A" w:rsidRPr="00A7259A" w:rsidRDefault="00A7259A" w:rsidP="00C56452">
      <w:pPr>
        <w:ind w:right="272"/>
        <w:jc w:val="both"/>
        <w:rPr>
          <w:rFonts w:asciiTheme="minorHAnsi" w:hAnsiTheme="minorHAnsi"/>
          <w:sz w:val="24"/>
          <w:szCs w:val="24"/>
          <w:lang w:val="bg-BG"/>
        </w:rPr>
      </w:pPr>
    </w:p>
    <w:p w:rsidR="00A7259A" w:rsidRPr="00A7259A" w:rsidRDefault="00A83CC7" w:rsidP="00A7259A">
      <w:pPr>
        <w:ind w:left="426" w:right="272" w:firstLine="708"/>
        <w:jc w:val="both"/>
        <w:rPr>
          <w:rFonts w:asciiTheme="minorHAnsi" w:hAnsiTheme="minorHAnsi"/>
          <w:sz w:val="24"/>
          <w:szCs w:val="24"/>
          <w:lang w:val="bg-BG"/>
        </w:rPr>
      </w:pPr>
      <w:r w:rsidRPr="00A83CC7">
        <w:rPr>
          <w:rFonts w:asciiTheme="minorHAnsi" w:hAnsiTheme="minorHAnsi"/>
          <w:b/>
          <w:sz w:val="24"/>
          <w:szCs w:val="24"/>
          <w:lang w:val="bg-BG"/>
        </w:rPr>
        <w:t>3)</w:t>
      </w:r>
      <w:r>
        <w:rPr>
          <w:rFonts w:asciiTheme="minorHAnsi" w:hAnsiTheme="minorHAnsi"/>
          <w:sz w:val="24"/>
          <w:szCs w:val="24"/>
          <w:lang w:val="bg-BG"/>
        </w:rPr>
        <w:tab/>
        <w:t>В проекта на бюджет е записано, че</w:t>
      </w:r>
      <w:r w:rsidR="00A7259A" w:rsidRPr="00A7259A">
        <w:rPr>
          <w:rFonts w:asciiTheme="minorHAnsi" w:hAnsiTheme="minorHAnsi"/>
          <w:sz w:val="24"/>
          <w:szCs w:val="24"/>
          <w:lang w:val="bg-BG"/>
        </w:rPr>
        <w:t xml:space="preserve"> „процентът за всяка година осигурителен стаж в пенсионната формула се запазва на достигнатото през 2019 г. ниво от 1,2 на сто“. </w:t>
      </w:r>
      <w:r>
        <w:rPr>
          <w:rFonts w:asciiTheme="minorHAnsi" w:hAnsiTheme="minorHAnsi"/>
          <w:sz w:val="24"/>
          <w:szCs w:val="24"/>
          <w:lang w:val="bg-BG"/>
        </w:rPr>
        <w:t>КТ „Подкрепа“ напомня, че до миналата година беше заложен график за постепенно увеличение на този коефициент до 1,5, като така се гарантира по-пълно отражение на осигурителния принос в размера на пенсията. Предлагаме графикът да бъде възстановен.</w:t>
      </w:r>
    </w:p>
    <w:p w:rsidR="00A7259A" w:rsidRPr="00A7259A" w:rsidRDefault="00A7259A" w:rsidP="00A7259A">
      <w:pPr>
        <w:ind w:left="426" w:right="272" w:firstLine="708"/>
        <w:jc w:val="both"/>
        <w:rPr>
          <w:rFonts w:asciiTheme="minorHAnsi" w:hAnsiTheme="minorHAnsi"/>
          <w:sz w:val="24"/>
          <w:szCs w:val="24"/>
          <w:lang w:val="bg-BG"/>
        </w:rPr>
      </w:pPr>
    </w:p>
    <w:p w:rsidR="00A7259A" w:rsidRDefault="00A83CC7" w:rsidP="00A7259A">
      <w:pPr>
        <w:ind w:left="426" w:right="272" w:firstLine="708"/>
        <w:jc w:val="both"/>
        <w:rPr>
          <w:rFonts w:asciiTheme="minorHAnsi" w:hAnsiTheme="minorHAnsi"/>
          <w:b/>
          <w:sz w:val="24"/>
          <w:szCs w:val="24"/>
          <w:lang w:val="bg-BG"/>
        </w:rPr>
      </w:pPr>
      <w:r w:rsidRPr="00CF7B23">
        <w:rPr>
          <w:rFonts w:asciiTheme="minorHAnsi" w:hAnsiTheme="minorHAnsi"/>
          <w:b/>
          <w:sz w:val="24"/>
          <w:szCs w:val="24"/>
          <w:lang w:val="bg-BG"/>
        </w:rPr>
        <w:t>4</w:t>
      </w:r>
      <w:r w:rsidR="00A7259A" w:rsidRPr="00CF7B23">
        <w:rPr>
          <w:rFonts w:asciiTheme="minorHAnsi" w:hAnsiTheme="minorHAnsi"/>
          <w:b/>
          <w:sz w:val="24"/>
          <w:szCs w:val="24"/>
          <w:lang w:val="bg-BG"/>
        </w:rPr>
        <w:t>)</w:t>
      </w:r>
      <w:r w:rsidR="00A7259A" w:rsidRPr="00A7259A">
        <w:rPr>
          <w:rFonts w:asciiTheme="minorHAnsi" w:hAnsiTheme="minorHAnsi"/>
          <w:sz w:val="24"/>
          <w:szCs w:val="24"/>
          <w:lang w:val="bg-BG"/>
        </w:rPr>
        <w:tab/>
      </w:r>
      <w:r>
        <w:rPr>
          <w:rFonts w:asciiTheme="minorHAnsi" w:hAnsiTheme="minorHAnsi"/>
          <w:sz w:val="24"/>
          <w:szCs w:val="24"/>
          <w:lang w:val="bg-BG"/>
        </w:rPr>
        <w:t>Обръщаме внимание на</w:t>
      </w:r>
      <w:r w:rsidR="005242F2">
        <w:rPr>
          <w:rFonts w:asciiTheme="minorHAnsi" w:hAnsiTheme="minorHAnsi"/>
          <w:sz w:val="24"/>
          <w:szCs w:val="24"/>
          <w:lang w:val="bg-BG"/>
        </w:rPr>
        <w:t xml:space="preserve"> два вида пенсии, които може да се изплащат при непълен осигурителен стаж и които никога не са във фокуса на обществените дебати, но ще има</w:t>
      </w:r>
      <w:r w:rsidR="00CF7B23">
        <w:rPr>
          <w:rFonts w:asciiTheme="minorHAnsi" w:hAnsiTheme="minorHAnsi"/>
          <w:sz w:val="24"/>
          <w:szCs w:val="24"/>
          <w:lang w:val="bg-BG"/>
        </w:rPr>
        <w:t>т все по-голямо значение за бъл</w:t>
      </w:r>
      <w:r w:rsidR="005242F2">
        <w:rPr>
          <w:rFonts w:asciiTheme="minorHAnsi" w:hAnsiTheme="minorHAnsi"/>
          <w:sz w:val="24"/>
          <w:szCs w:val="24"/>
          <w:lang w:val="bg-BG"/>
        </w:rPr>
        <w:t>г</w:t>
      </w:r>
      <w:r w:rsidR="00CF7B23">
        <w:rPr>
          <w:rFonts w:asciiTheme="minorHAnsi" w:hAnsiTheme="minorHAnsi"/>
          <w:sz w:val="24"/>
          <w:szCs w:val="24"/>
          <w:lang w:val="bg-BG"/>
        </w:rPr>
        <w:t>а</w:t>
      </w:r>
      <w:r w:rsidR="005242F2">
        <w:rPr>
          <w:rFonts w:asciiTheme="minorHAnsi" w:hAnsiTheme="minorHAnsi"/>
          <w:sz w:val="24"/>
          <w:szCs w:val="24"/>
          <w:lang w:val="bg-BG"/>
        </w:rPr>
        <w:t>рските граждани –</w:t>
      </w:r>
      <w:r w:rsidR="00A7259A" w:rsidRPr="00A7259A">
        <w:rPr>
          <w:rFonts w:asciiTheme="minorHAnsi" w:hAnsiTheme="minorHAnsi"/>
          <w:sz w:val="24"/>
          <w:szCs w:val="24"/>
          <w:lang w:val="bg-BG"/>
        </w:rPr>
        <w:t xml:space="preserve"> социалната пенсия за старост</w:t>
      </w:r>
      <w:r w:rsidR="005242F2">
        <w:rPr>
          <w:rFonts w:asciiTheme="minorHAnsi" w:hAnsiTheme="minorHAnsi"/>
          <w:sz w:val="24"/>
          <w:szCs w:val="24"/>
          <w:lang w:val="bg-BG"/>
        </w:rPr>
        <w:t xml:space="preserve"> по чл. 89а от КСО и пенсия</w:t>
      </w:r>
      <w:r w:rsidR="00CF7B23">
        <w:rPr>
          <w:rFonts w:asciiTheme="minorHAnsi" w:hAnsiTheme="minorHAnsi"/>
          <w:sz w:val="24"/>
          <w:szCs w:val="24"/>
          <w:lang w:val="bg-BG"/>
        </w:rPr>
        <w:t>та</w:t>
      </w:r>
      <w:r w:rsidR="005242F2">
        <w:rPr>
          <w:rFonts w:asciiTheme="minorHAnsi" w:hAnsiTheme="minorHAnsi"/>
          <w:sz w:val="24"/>
          <w:szCs w:val="24"/>
          <w:lang w:val="bg-BG"/>
        </w:rPr>
        <w:t xml:space="preserve"> по чл. 68, ал. 3 от КСО</w:t>
      </w:r>
      <w:r w:rsidR="00CF7B23">
        <w:rPr>
          <w:rFonts w:asciiTheme="minorHAnsi" w:hAnsiTheme="minorHAnsi"/>
          <w:sz w:val="24"/>
          <w:szCs w:val="24"/>
          <w:lang w:val="bg-BG"/>
        </w:rPr>
        <w:t xml:space="preserve"> за хора</w:t>
      </w:r>
      <w:r w:rsidR="005242F2">
        <w:rPr>
          <w:rFonts w:asciiTheme="minorHAnsi" w:hAnsiTheme="minorHAnsi"/>
          <w:sz w:val="24"/>
          <w:szCs w:val="24"/>
          <w:lang w:val="bg-BG"/>
        </w:rPr>
        <w:t xml:space="preserve">, които имат </w:t>
      </w:r>
      <w:r w:rsidR="005242F2" w:rsidRPr="005242F2">
        <w:rPr>
          <w:rFonts w:asciiTheme="minorHAnsi" w:hAnsiTheme="minorHAnsi"/>
          <w:sz w:val="24"/>
          <w:szCs w:val="24"/>
          <w:lang w:val="bg-BG"/>
        </w:rPr>
        <w:t>най-малко 15 години действителен осигурителен стаж</w:t>
      </w:r>
      <w:r w:rsidR="005242F2">
        <w:rPr>
          <w:rFonts w:asciiTheme="minorHAnsi" w:hAnsiTheme="minorHAnsi"/>
          <w:sz w:val="24"/>
          <w:szCs w:val="24"/>
          <w:lang w:val="bg-BG"/>
        </w:rPr>
        <w:t>.</w:t>
      </w:r>
      <w:r>
        <w:rPr>
          <w:rFonts w:asciiTheme="minorHAnsi" w:hAnsiTheme="minorHAnsi"/>
          <w:sz w:val="24"/>
          <w:szCs w:val="24"/>
          <w:lang w:val="bg-BG"/>
        </w:rPr>
        <w:t xml:space="preserve"> П</w:t>
      </w:r>
      <w:r w:rsidR="005242F2">
        <w:rPr>
          <w:rFonts w:asciiTheme="minorHAnsi" w:hAnsiTheme="minorHAnsi"/>
          <w:sz w:val="24"/>
          <w:szCs w:val="24"/>
          <w:lang w:val="bg-BG"/>
        </w:rPr>
        <w:t>редвидено е социалната пенсия</w:t>
      </w:r>
      <w:r>
        <w:rPr>
          <w:rFonts w:asciiTheme="minorHAnsi" w:hAnsiTheme="minorHAnsi"/>
          <w:sz w:val="24"/>
          <w:szCs w:val="24"/>
          <w:lang w:val="bg-BG"/>
        </w:rPr>
        <w:t xml:space="preserve"> да се увеличи от 141,63 на 148,71 лв. – около 50% от минималната пенсия. </w:t>
      </w:r>
      <w:r w:rsidR="00CF7B23">
        <w:rPr>
          <w:rFonts w:asciiTheme="minorHAnsi" w:hAnsiTheme="minorHAnsi"/>
          <w:sz w:val="24"/>
          <w:szCs w:val="24"/>
          <w:lang w:val="bg-BG"/>
        </w:rPr>
        <w:t>А втората към момента е в размер на 212,50 лв. И двата вида пенсионни плащания се остасят за работещи, които не могат да докажат пълен осигурителен стаж. Групата на тези български граждани, които нямат право на нормална пенсия, ще се увеличава, когато започне интензивното пенсиониране на</w:t>
      </w:r>
      <w:r w:rsidR="00A7259A" w:rsidRPr="00A7259A">
        <w:rPr>
          <w:rFonts w:asciiTheme="minorHAnsi" w:hAnsiTheme="minorHAnsi"/>
          <w:sz w:val="24"/>
          <w:szCs w:val="24"/>
          <w:lang w:val="bg-BG"/>
        </w:rPr>
        <w:t xml:space="preserve"> </w:t>
      </w:r>
      <w:r w:rsidR="00CF7B23">
        <w:rPr>
          <w:rFonts w:asciiTheme="minorHAnsi" w:hAnsiTheme="minorHAnsi"/>
          <w:sz w:val="24"/>
          <w:szCs w:val="24"/>
          <w:lang w:val="bg-BG"/>
        </w:rPr>
        <w:t xml:space="preserve">трудово </w:t>
      </w:r>
      <w:r w:rsidR="00A7259A" w:rsidRPr="00A7259A">
        <w:rPr>
          <w:rFonts w:asciiTheme="minorHAnsi" w:hAnsiTheme="minorHAnsi"/>
          <w:sz w:val="24"/>
          <w:szCs w:val="24"/>
          <w:lang w:val="bg-BG"/>
        </w:rPr>
        <w:t>активните през 90-те години</w:t>
      </w:r>
      <w:r w:rsidR="00CF7B23">
        <w:rPr>
          <w:rFonts w:asciiTheme="minorHAnsi" w:hAnsiTheme="minorHAnsi"/>
          <w:sz w:val="24"/>
          <w:szCs w:val="24"/>
          <w:lang w:val="bg-BG"/>
        </w:rPr>
        <w:t xml:space="preserve"> хора. </w:t>
      </w:r>
      <w:r w:rsidR="00CF7B23" w:rsidRPr="00CF7B23">
        <w:rPr>
          <w:rFonts w:asciiTheme="minorHAnsi" w:hAnsiTheme="minorHAnsi"/>
          <w:b/>
          <w:sz w:val="24"/>
          <w:szCs w:val="24"/>
          <w:lang w:val="bg-BG"/>
        </w:rPr>
        <w:t>Задава се вълна от бедни пенсионери с доходи дори под минималната пенсия.</w:t>
      </w:r>
    </w:p>
    <w:p w:rsidR="00CF7B23" w:rsidRDefault="00CF7B23" w:rsidP="00A7259A">
      <w:pPr>
        <w:ind w:left="426" w:right="272" w:firstLine="708"/>
        <w:jc w:val="both"/>
        <w:rPr>
          <w:rFonts w:asciiTheme="minorHAnsi" w:hAnsiTheme="minorHAnsi"/>
          <w:b/>
          <w:sz w:val="24"/>
          <w:szCs w:val="24"/>
          <w:lang w:val="bg-BG"/>
        </w:rPr>
      </w:pPr>
    </w:p>
    <w:p w:rsidR="00CF7B23" w:rsidRDefault="00CF7B23" w:rsidP="00A7259A">
      <w:pPr>
        <w:ind w:left="426" w:right="272" w:firstLine="708"/>
        <w:jc w:val="both"/>
        <w:rPr>
          <w:rFonts w:asciiTheme="minorHAnsi" w:hAnsiTheme="minorHAnsi"/>
          <w:sz w:val="24"/>
          <w:szCs w:val="24"/>
          <w:lang w:val="bg-BG"/>
        </w:rPr>
      </w:pPr>
      <w:r>
        <w:rPr>
          <w:rFonts w:asciiTheme="minorHAnsi" w:hAnsiTheme="minorHAnsi"/>
          <w:b/>
          <w:sz w:val="24"/>
          <w:szCs w:val="24"/>
          <w:lang w:val="bg-BG"/>
        </w:rPr>
        <w:t>5</w:t>
      </w:r>
      <w:r>
        <w:rPr>
          <w:rFonts w:asciiTheme="minorHAnsi" w:hAnsiTheme="minorHAnsi"/>
          <w:b/>
          <w:sz w:val="24"/>
          <w:szCs w:val="24"/>
        </w:rPr>
        <w:t xml:space="preserve">) </w:t>
      </w:r>
      <w:r w:rsidRPr="00A7259A">
        <w:rPr>
          <w:rFonts w:asciiTheme="minorHAnsi" w:hAnsiTheme="minorHAnsi"/>
          <w:sz w:val="24"/>
          <w:szCs w:val="24"/>
          <w:lang w:val="bg-BG"/>
        </w:rPr>
        <w:t>До момента инвалидните пенсии, отпуснати на</w:t>
      </w:r>
      <w:r>
        <w:rPr>
          <w:rFonts w:asciiTheme="minorHAnsi" w:hAnsiTheme="minorHAnsi"/>
          <w:sz w:val="24"/>
          <w:szCs w:val="24"/>
          <w:lang w:val="bg-BG"/>
        </w:rPr>
        <w:t xml:space="preserve"> граждани,</w:t>
      </w:r>
      <w:r w:rsidRPr="00A7259A">
        <w:rPr>
          <w:rFonts w:asciiTheme="minorHAnsi" w:hAnsiTheme="minorHAnsi"/>
          <w:sz w:val="24"/>
          <w:szCs w:val="24"/>
          <w:lang w:val="bg-BG"/>
        </w:rPr>
        <w:t xml:space="preserve"> пенсионирани по възраст, </w:t>
      </w:r>
      <w:r>
        <w:rPr>
          <w:rFonts w:asciiTheme="minorHAnsi" w:hAnsiTheme="minorHAnsi"/>
          <w:sz w:val="24"/>
          <w:szCs w:val="24"/>
          <w:lang w:val="bg-BG"/>
        </w:rPr>
        <w:t>са</w:t>
      </w:r>
      <w:r w:rsidRPr="00A7259A">
        <w:rPr>
          <w:rFonts w:asciiTheme="minorHAnsi" w:hAnsiTheme="minorHAnsi"/>
          <w:sz w:val="24"/>
          <w:szCs w:val="24"/>
          <w:lang w:val="bg-BG"/>
        </w:rPr>
        <w:t xml:space="preserve"> пожизнени. С </w:t>
      </w:r>
      <w:r>
        <w:rPr>
          <w:rFonts w:asciiTheme="minorHAnsi" w:hAnsiTheme="minorHAnsi"/>
          <w:sz w:val="24"/>
          <w:szCs w:val="24"/>
          <w:lang w:val="bg-BG"/>
        </w:rPr>
        <w:t xml:space="preserve">предвидена </w:t>
      </w:r>
      <w:r w:rsidRPr="00A7259A">
        <w:rPr>
          <w:rFonts w:asciiTheme="minorHAnsi" w:hAnsiTheme="minorHAnsi"/>
          <w:sz w:val="24"/>
          <w:szCs w:val="24"/>
          <w:lang w:val="bg-BG"/>
        </w:rPr>
        <w:t>в чл. 73, ал. 3</w:t>
      </w:r>
      <w:r>
        <w:rPr>
          <w:rFonts w:asciiTheme="minorHAnsi" w:hAnsiTheme="minorHAnsi"/>
          <w:sz w:val="24"/>
          <w:szCs w:val="24"/>
          <w:lang w:val="bg-BG"/>
        </w:rPr>
        <w:t xml:space="preserve"> промяна</w:t>
      </w:r>
      <w:r w:rsidRPr="00A7259A">
        <w:rPr>
          <w:rFonts w:asciiTheme="minorHAnsi" w:hAnsiTheme="minorHAnsi"/>
          <w:sz w:val="24"/>
          <w:szCs w:val="24"/>
          <w:lang w:val="bg-BG"/>
        </w:rPr>
        <w:t xml:space="preserve"> пожизнени остават пенсиите за тези, които имат пълен осигурителен стаж – чл. 68, ал. 1. </w:t>
      </w:r>
      <w:r>
        <w:rPr>
          <w:rFonts w:asciiTheme="minorHAnsi" w:hAnsiTheme="minorHAnsi"/>
          <w:sz w:val="24"/>
          <w:szCs w:val="24"/>
          <w:lang w:val="bg-BG"/>
        </w:rPr>
        <w:t xml:space="preserve">А хората с минимум 15 години действителен стаж </w:t>
      </w:r>
      <w:r>
        <w:rPr>
          <w:rFonts w:asciiTheme="minorHAnsi" w:hAnsiTheme="minorHAnsi"/>
          <w:sz w:val="24"/>
          <w:szCs w:val="24"/>
        </w:rPr>
        <w:t>(</w:t>
      </w:r>
      <w:r>
        <w:rPr>
          <w:rFonts w:asciiTheme="minorHAnsi" w:hAnsiTheme="minorHAnsi"/>
          <w:sz w:val="24"/>
          <w:szCs w:val="24"/>
          <w:lang w:val="bg-BG"/>
        </w:rPr>
        <w:t>чл. 68, ал. 3</w:t>
      </w:r>
      <w:r>
        <w:rPr>
          <w:rFonts w:asciiTheme="minorHAnsi" w:hAnsiTheme="minorHAnsi"/>
          <w:sz w:val="24"/>
          <w:szCs w:val="24"/>
        </w:rPr>
        <w:t>)</w:t>
      </w:r>
      <w:r>
        <w:rPr>
          <w:rFonts w:asciiTheme="minorHAnsi" w:hAnsiTheme="minorHAnsi"/>
          <w:sz w:val="24"/>
          <w:szCs w:val="24"/>
          <w:lang w:val="bg-BG"/>
        </w:rPr>
        <w:t>, ще трябва да продължат да посещават ТЕЛК за преосвидетелстване. Тези български граждани са</w:t>
      </w:r>
      <w:r w:rsidRPr="00A7259A">
        <w:rPr>
          <w:rFonts w:asciiTheme="minorHAnsi" w:hAnsiTheme="minorHAnsi"/>
          <w:sz w:val="24"/>
          <w:szCs w:val="24"/>
          <w:lang w:val="bg-BG"/>
        </w:rPr>
        <w:t xml:space="preserve"> с непълен осигурителен стаж</w:t>
      </w:r>
      <w:r>
        <w:rPr>
          <w:rFonts w:asciiTheme="minorHAnsi" w:hAnsiTheme="minorHAnsi"/>
          <w:sz w:val="24"/>
          <w:szCs w:val="24"/>
          <w:lang w:val="bg-BG"/>
        </w:rPr>
        <w:t>, не им достигат</w:t>
      </w:r>
      <w:r w:rsidRPr="00A7259A">
        <w:rPr>
          <w:rFonts w:asciiTheme="minorHAnsi" w:hAnsiTheme="minorHAnsi"/>
          <w:sz w:val="24"/>
          <w:szCs w:val="24"/>
          <w:lang w:val="bg-BG"/>
        </w:rPr>
        <w:t xml:space="preserve"> година, две, пет. </w:t>
      </w:r>
      <w:r>
        <w:rPr>
          <w:rFonts w:asciiTheme="minorHAnsi" w:hAnsiTheme="minorHAnsi"/>
          <w:sz w:val="24"/>
          <w:szCs w:val="24"/>
          <w:lang w:val="bg-BG"/>
        </w:rPr>
        <w:t>Както вече споменахме, т</w:t>
      </w:r>
      <w:r w:rsidRPr="00A7259A">
        <w:rPr>
          <w:rFonts w:asciiTheme="minorHAnsi" w:hAnsiTheme="minorHAnsi"/>
          <w:sz w:val="24"/>
          <w:szCs w:val="24"/>
          <w:lang w:val="bg-BG"/>
        </w:rPr>
        <w:t xml:space="preserve">ези пенсионери и в момента получават пенсии по-ниски от минималните. Например днес минималната е 250 лв., а тази за непълен осигурителен стаж – 212,50 лв. </w:t>
      </w:r>
      <w:r>
        <w:rPr>
          <w:rFonts w:asciiTheme="minorHAnsi" w:hAnsiTheme="minorHAnsi"/>
          <w:sz w:val="24"/>
          <w:szCs w:val="24"/>
          <w:lang w:val="bg-BG"/>
        </w:rPr>
        <w:t>Няма никаква обективна причина инвалидните им пенсии да не са пожизнени, както на всички други пенсионери.  Настояваме тази промяна в чл. 73 на КСО да отпадне.</w:t>
      </w:r>
    </w:p>
    <w:p w:rsidR="00CF7B23" w:rsidRDefault="00CF7B23" w:rsidP="00A7259A">
      <w:pPr>
        <w:ind w:left="426" w:right="272" w:firstLine="708"/>
        <w:jc w:val="both"/>
        <w:rPr>
          <w:rFonts w:asciiTheme="minorHAnsi" w:hAnsiTheme="minorHAnsi"/>
          <w:sz w:val="24"/>
          <w:szCs w:val="24"/>
        </w:rPr>
      </w:pPr>
    </w:p>
    <w:p w:rsidR="00A7259A" w:rsidRPr="00871E6B" w:rsidRDefault="00CF7B23" w:rsidP="00A7259A">
      <w:pPr>
        <w:ind w:left="426" w:right="272" w:firstLine="708"/>
        <w:jc w:val="both"/>
        <w:rPr>
          <w:rFonts w:asciiTheme="minorHAnsi" w:hAnsiTheme="minorHAnsi"/>
          <w:b/>
          <w:sz w:val="24"/>
          <w:szCs w:val="24"/>
          <w:lang w:val="bg-BG"/>
        </w:rPr>
      </w:pPr>
      <w:r w:rsidRPr="00871E6B">
        <w:rPr>
          <w:rFonts w:asciiTheme="minorHAnsi" w:hAnsiTheme="minorHAnsi"/>
          <w:b/>
          <w:sz w:val="24"/>
          <w:szCs w:val="24"/>
          <w:lang w:val="bg-BG"/>
        </w:rPr>
        <w:t>Други</w:t>
      </w:r>
    </w:p>
    <w:p w:rsidR="00A7259A" w:rsidRPr="00A7259A" w:rsidRDefault="00A7259A" w:rsidP="00A7259A">
      <w:pPr>
        <w:ind w:left="426" w:right="272" w:firstLine="708"/>
        <w:jc w:val="both"/>
        <w:rPr>
          <w:rFonts w:asciiTheme="minorHAnsi" w:hAnsiTheme="minorHAnsi"/>
          <w:sz w:val="24"/>
          <w:szCs w:val="24"/>
          <w:lang w:val="bg-BG"/>
        </w:rPr>
      </w:pPr>
    </w:p>
    <w:p w:rsidR="00871E6B" w:rsidRDefault="00CF7B23" w:rsidP="00A7259A">
      <w:pPr>
        <w:ind w:left="426" w:right="272" w:firstLine="708"/>
        <w:jc w:val="both"/>
        <w:rPr>
          <w:rFonts w:asciiTheme="minorHAnsi" w:hAnsiTheme="minorHAnsi"/>
          <w:sz w:val="24"/>
          <w:szCs w:val="24"/>
          <w:lang w:val="bg-BG"/>
        </w:rPr>
      </w:pPr>
      <w:r w:rsidRPr="00CF7B23">
        <w:rPr>
          <w:rFonts w:asciiTheme="minorHAnsi" w:hAnsiTheme="minorHAnsi"/>
          <w:b/>
          <w:sz w:val="24"/>
          <w:szCs w:val="24"/>
          <w:lang w:val="bg-BG"/>
        </w:rPr>
        <w:t>1</w:t>
      </w:r>
      <w:r w:rsidR="00A7259A" w:rsidRPr="00CF7B23">
        <w:rPr>
          <w:rFonts w:asciiTheme="minorHAnsi" w:hAnsiTheme="minorHAnsi"/>
          <w:b/>
          <w:sz w:val="24"/>
          <w:szCs w:val="24"/>
          <w:lang w:val="bg-BG"/>
        </w:rPr>
        <w:t>)</w:t>
      </w:r>
      <w:r w:rsidRPr="00CF7B23">
        <w:rPr>
          <w:rFonts w:asciiTheme="minorHAnsi" w:hAnsiTheme="minorHAnsi"/>
          <w:b/>
          <w:sz w:val="24"/>
          <w:szCs w:val="24"/>
          <w:lang w:val="bg-BG"/>
        </w:rPr>
        <w:t xml:space="preserve"> Майчинство</w:t>
      </w:r>
      <w:r>
        <w:rPr>
          <w:rFonts w:asciiTheme="minorHAnsi" w:hAnsiTheme="minorHAnsi"/>
          <w:sz w:val="24"/>
          <w:szCs w:val="24"/>
          <w:lang w:val="bg-BG"/>
        </w:rPr>
        <w:t xml:space="preserve"> – з</w:t>
      </w:r>
      <w:r w:rsidR="00A7259A" w:rsidRPr="00A7259A">
        <w:rPr>
          <w:rFonts w:asciiTheme="minorHAnsi" w:hAnsiTheme="minorHAnsi"/>
          <w:sz w:val="24"/>
          <w:szCs w:val="24"/>
          <w:lang w:val="bg-BG"/>
        </w:rPr>
        <w:t xml:space="preserve">а поредна година  паричното обезщетение за отглеждане на дете до 2-годишна възраст е замразено на 380 лв. </w:t>
      </w:r>
      <w:r>
        <w:rPr>
          <w:rFonts w:asciiTheme="minorHAnsi" w:hAnsiTheme="minorHAnsi"/>
          <w:sz w:val="24"/>
          <w:szCs w:val="24"/>
          <w:lang w:val="bg-BG"/>
        </w:rPr>
        <w:t xml:space="preserve">Обосноваването на тази политика с необходимостта майките да се върнат по-бързо на работа, когато дори няма осигурени свободни места в детските ясли и градини, е крайно цинично. </w:t>
      </w:r>
      <w:r w:rsidR="00871E6B">
        <w:rPr>
          <w:rFonts w:asciiTheme="minorHAnsi" w:hAnsiTheme="minorHAnsi"/>
          <w:sz w:val="24"/>
          <w:szCs w:val="24"/>
          <w:lang w:val="bg-BG"/>
        </w:rPr>
        <w:t xml:space="preserve">Можем да покажем и случаи, в които </w:t>
      </w:r>
      <w:r w:rsidR="00871E6B" w:rsidRPr="00871E6B">
        <w:rPr>
          <w:rFonts w:asciiTheme="minorHAnsi" w:hAnsiTheme="minorHAnsi"/>
          <w:b/>
          <w:sz w:val="24"/>
          <w:szCs w:val="24"/>
          <w:lang w:val="bg-BG"/>
        </w:rPr>
        <w:t>деца на служители на частни фирми са „уволнени“ от частната детска градина на работодателя</w:t>
      </w:r>
      <w:r w:rsidR="00871E6B">
        <w:rPr>
          <w:rFonts w:asciiTheme="minorHAnsi" w:hAnsiTheme="minorHAnsi"/>
          <w:sz w:val="24"/>
          <w:szCs w:val="24"/>
          <w:lang w:val="bg-BG"/>
        </w:rPr>
        <w:t xml:space="preserve">, която не е безплатна, като наказание към техните родители. При тази ситуация замразяването на размера на майчинството е наказателна мярка. В случай, че реалната причина за неувеличаването на това плащане е липсата на средства, то предлагаме </w:t>
      </w:r>
      <w:r w:rsidR="00A7259A" w:rsidRPr="00A7259A">
        <w:rPr>
          <w:rFonts w:asciiTheme="minorHAnsi" w:hAnsiTheme="minorHAnsi"/>
          <w:sz w:val="24"/>
          <w:szCs w:val="24"/>
          <w:lang w:val="bg-BG"/>
        </w:rPr>
        <w:t xml:space="preserve">да не </w:t>
      </w:r>
      <w:r w:rsidR="00871E6B">
        <w:rPr>
          <w:rFonts w:asciiTheme="minorHAnsi" w:hAnsiTheme="minorHAnsi"/>
          <w:sz w:val="24"/>
          <w:szCs w:val="24"/>
          <w:lang w:val="bg-BG"/>
        </w:rPr>
        <w:t>се увеличава максималната пенсия, като това се прави в нарушение на законови правила</w:t>
      </w:r>
      <w:r w:rsidR="00A7259A" w:rsidRPr="00A7259A">
        <w:rPr>
          <w:rFonts w:asciiTheme="minorHAnsi" w:hAnsiTheme="minorHAnsi"/>
          <w:sz w:val="24"/>
          <w:szCs w:val="24"/>
          <w:lang w:val="bg-BG"/>
        </w:rPr>
        <w:t xml:space="preserve">. Само за това увеличение на най-големите пенсии </w:t>
      </w:r>
      <w:r w:rsidR="00871E6B">
        <w:rPr>
          <w:rFonts w:asciiTheme="minorHAnsi" w:hAnsiTheme="minorHAnsi"/>
          <w:sz w:val="24"/>
          <w:szCs w:val="24"/>
          <w:lang w:val="bg-BG"/>
        </w:rPr>
        <w:t xml:space="preserve">бюджетът отделя </w:t>
      </w:r>
      <w:r w:rsidR="00A7259A" w:rsidRPr="00A7259A">
        <w:rPr>
          <w:rFonts w:asciiTheme="minorHAnsi" w:hAnsiTheme="minorHAnsi"/>
          <w:sz w:val="24"/>
          <w:szCs w:val="24"/>
          <w:lang w:val="bg-BG"/>
        </w:rPr>
        <w:t xml:space="preserve">94 млн. лв. Общият размер на средствата за майчинство е 182 млн. лв. Ако не </w:t>
      </w:r>
      <w:r w:rsidR="00871E6B">
        <w:rPr>
          <w:rFonts w:asciiTheme="minorHAnsi" w:hAnsiTheme="minorHAnsi"/>
          <w:sz w:val="24"/>
          <w:szCs w:val="24"/>
          <w:lang w:val="bg-BG"/>
        </w:rPr>
        <w:t>бъде увеличен таванът</w:t>
      </w:r>
      <w:r w:rsidR="00A7259A" w:rsidRPr="00A7259A">
        <w:rPr>
          <w:rFonts w:asciiTheme="minorHAnsi" w:hAnsiTheme="minorHAnsi"/>
          <w:sz w:val="24"/>
          <w:szCs w:val="24"/>
          <w:lang w:val="bg-BG"/>
        </w:rPr>
        <w:t xml:space="preserve"> на пенсиите, без проблем </w:t>
      </w:r>
      <w:r w:rsidR="00871E6B">
        <w:rPr>
          <w:rFonts w:asciiTheme="minorHAnsi" w:hAnsiTheme="minorHAnsi"/>
          <w:sz w:val="24"/>
          <w:szCs w:val="24"/>
          <w:lang w:val="bg-BG"/>
        </w:rPr>
        <w:t>никакви затруднения може да се увеличи размерът на обезщетението за отглеждане на дете до 2-годишна възраст</w:t>
      </w:r>
      <w:r w:rsidR="00A7259A" w:rsidRPr="00A7259A">
        <w:rPr>
          <w:rFonts w:asciiTheme="minorHAnsi" w:hAnsiTheme="minorHAnsi"/>
          <w:sz w:val="24"/>
          <w:szCs w:val="24"/>
          <w:lang w:val="bg-BG"/>
        </w:rPr>
        <w:t xml:space="preserve"> с 50%.</w:t>
      </w:r>
    </w:p>
    <w:p w:rsidR="00871E6B" w:rsidRDefault="00871E6B" w:rsidP="00A7259A">
      <w:pPr>
        <w:ind w:left="426" w:right="272" w:firstLine="708"/>
        <w:jc w:val="both"/>
        <w:rPr>
          <w:rFonts w:asciiTheme="minorHAnsi" w:hAnsiTheme="minorHAnsi"/>
          <w:sz w:val="24"/>
          <w:szCs w:val="24"/>
          <w:lang w:val="bg-BG"/>
        </w:rPr>
      </w:pPr>
    </w:p>
    <w:p w:rsidR="00BA27B5" w:rsidRDefault="00871E6B" w:rsidP="00A7259A">
      <w:pPr>
        <w:ind w:left="426" w:right="272" w:firstLine="708"/>
        <w:jc w:val="both"/>
        <w:rPr>
          <w:rFonts w:asciiTheme="minorHAnsi" w:hAnsiTheme="minorHAnsi"/>
          <w:sz w:val="24"/>
          <w:szCs w:val="24"/>
          <w:lang w:val="bg-BG"/>
        </w:rPr>
      </w:pPr>
      <w:r>
        <w:rPr>
          <w:rFonts w:asciiTheme="minorHAnsi" w:hAnsiTheme="minorHAnsi"/>
          <w:b/>
          <w:sz w:val="24"/>
          <w:szCs w:val="24"/>
          <w:lang w:val="bg-BG"/>
        </w:rPr>
        <w:t>2</w:t>
      </w:r>
      <w:r>
        <w:rPr>
          <w:rFonts w:asciiTheme="minorHAnsi" w:hAnsiTheme="minorHAnsi"/>
          <w:b/>
          <w:sz w:val="24"/>
          <w:szCs w:val="24"/>
        </w:rPr>
        <w:t xml:space="preserve">) </w:t>
      </w:r>
      <w:r>
        <w:rPr>
          <w:rFonts w:asciiTheme="minorHAnsi" w:hAnsiTheme="minorHAnsi"/>
          <w:b/>
          <w:sz w:val="24"/>
          <w:szCs w:val="24"/>
          <w:lang w:val="bg-BG"/>
        </w:rPr>
        <w:t>Ф</w:t>
      </w:r>
      <w:r w:rsidRPr="00871E6B">
        <w:rPr>
          <w:rFonts w:asciiTheme="minorHAnsi" w:hAnsiTheme="minorHAnsi"/>
          <w:b/>
          <w:sz w:val="24"/>
          <w:szCs w:val="24"/>
        </w:rPr>
        <w:t>онд „Гарантирани вземания на работниците и служителите“</w:t>
      </w:r>
      <w:r w:rsidRPr="00871E6B">
        <w:rPr>
          <w:rFonts w:asciiTheme="minorHAnsi" w:hAnsiTheme="minorHAnsi"/>
          <w:sz w:val="24"/>
          <w:szCs w:val="24"/>
          <w:lang w:val="bg-BG"/>
        </w:rPr>
        <w:t xml:space="preserve"> – </w:t>
      </w:r>
      <w:r>
        <w:rPr>
          <w:rFonts w:asciiTheme="minorHAnsi" w:hAnsiTheme="minorHAnsi"/>
          <w:sz w:val="24"/>
          <w:szCs w:val="24"/>
          <w:lang w:val="bg-BG"/>
        </w:rPr>
        <w:t>с направените предложения се отменя</w:t>
      </w:r>
      <w:r w:rsidR="00A7259A" w:rsidRPr="00A7259A">
        <w:rPr>
          <w:rFonts w:asciiTheme="minorHAnsi" w:hAnsiTheme="minorHAnsi"/>
          <w:sz w:val="24"/>
          <w:szCs w:val="24"/>
          <w:lang w:val="bg-BG"/>
        </w:rPr>
        <w:t xml:space="preserve"> лимитът на разходите за издръжка на ГВРС от 0,3% от приходите</w:t>
      </w:r>
      <w:r w:rsidR="00BA27B5">
        <w:rPr>
          <w:rFonts w:asciiTheme="minorHAnsi" w:hAnsiTheme="minorHAnsi"/>
          <w:sz w:val="24"/>
          <w:szCs w:val="24"/>
          <w:lang w:val="bg-BG"/>
        </w:rPr>
        <w:t>, тъй като о</w:t>
      </w:r>
      <w:r w:rsidR="00BA27B5" w:rsidRPr="00BA27B5">
        <w:rPr>
          <w:rFonts w:asciiTheme="minorHAnsi" w:hAnsiTheme="minorHAnsi"/>
          <w:sz w:val="24"/>
          <w:szCs w:val="24"/>
          <w:lang w:val="bg-BG"/>
        </w:rPr>
        <w:t>бемът на работа и разходите са увеличени десетки пъти</w:t>
      </w:r>
      <w:r w:rsidR="00BA27B5">
        <w:rPr>
          <w:rFonts w:asciiTheme="minorHAnsi" w:hAnsiTheme="minorHAnsi"/>
          <w:sz w:val="24"/>
          <w:szCs w:val="24"/>
          <w:lang w:val="bg-BG"/>
        </w:rPr>
        <w:t>. Трябва да подчертаем, че вследствие на направени законови промени, ангажираността на заетите във фонда нарасна многократно – от десетина преписки на година, сега се обработват по няколкостотин на ден. А ограничението не позволява трудовите възнаграждения да бъдат актуализирани. В допълнение лавинообразно се увеличават и разходите за съдебни дела.</w:t>
      </w:r>
    </w:p>
    <w:p w:rsidR="00871E6B" w:rsidRDefault="00BA27B5" w:rsidP="00A7259A">
      <w:pPr>
        <w:ind w:left="426" w:right="272" w:firstLine="708"/>
        <w:jc w:val="both"/>
        <w:rPr>
          <w:rFonts w:asciiTheme="minorHAnsi" w:hAnsiTheme="minorHAnsi"/>
          <w:sz w:val="24"/>
          <w:szCs w:val="24"/>
          <w:lang w:val="bg-BG"/>
        </w:rPr>
      </w:pPr>
      <w:r w:rsidRPr="00BA27B5">
        <w:rPr>
          <w:rFonts w:asciiTheme="minorHAnsi" w:hAnsiTheme="minorHAnsi"/>
          <w:sz w:val="24"/>
          <w:szCs w:val="24"/>
          <w:lang w:val="bg-BG"/>
        </w:rPr>
        <w:t xml:space="preserve">Основният проблем обаче се корени във факта, че не постъпват </w:t>
      </w:r>
      <w:r w:rsidR="00A7259A" w:rsidRPr="00A7259A">
        <w:rPr>
          <w:rFonts w:asciiTheme="minorHAnsi" w:hAnsiTheme="minorHAnsi"/>
          <w:sz w:val="24"/>
          <w:szCs w:val="24"/>
          <w:lang w:val="bg-BG"/>
        </w:rPr>
        <w:t>приходи от вноски</w:t>
      </w:r>
      <w:r w:rsidR="00871E6B">
        <w:rPr>
          <w:rFonts w:asciiTheme="minorHAnsi" w:hAnsiTheme="minorHAnsi"/>
          <w:sz w:val="24"/>
          <w:szCs w:val="24"/>
          <w:lang w:val="bg-BG"/>
        </w:rPr>
        <w:t>, тъй като бяха спрени от 2011 година</w:t>
      </w:r>
      <w:r w:rsidR="00A7259A" w:rsidRPr="00A7259A">
        <w:rPr>
          <w:rFonts w:asciiTheme="minorHAnsi" w:hAnsiTheme="minorHAnsi"/>
          <w:sz w:val="24"/>
          <w:szCs w:val="24"/>
          <w:lang w:val="bg-BG"/>
        </w:rPr>
        <w:t xml:space="preserve">. </w:t>
      </w:r>
      <w:r w:rsidR="00871E6B">
        <w:rPr>
          <w:rFonts w:asciiTheme="minorHAnsi" w:hAnsiTheme="minorHAnsi"/>
          <w:sz w:val="24"/>
          <w:szCs w:val="24"/>
          <w:lang w:val="bg-BG"/>
        </w:rPr>
        <w:t xml:space="preserve">Предлагаме вместо </w:t>
      </w:r>
      <w:r>
        <w:rPr>
          <w:rFonts w:asciiTheme="minorHAnsi" w:hAnsiTheme="minorHAnsi"/>
          <w:sz w:val="24"/>
          <w:szCs w:val="24"/>
          <w:lang w:val="bg-BG"/>
        </w:rPr>
        <w:t>предвиденото премахване на лимита на разходите</w:t>
      </w:r>
      <w:r w:rsidR="00871E6B">
        <w:rPr>
          <w:rFonts w:asciiTheme="minorHAnsi" w:hAnsiTheme="minorHAnsi"/>
          <w:sz w:val="24"/>
          <w:szCs w:val="24"/>
          <w:lang w:val="bg-BG"/>
        </w:rPr>
        <w:t>, да бъдат възстановени</w:t>
      </w:r>
      <w:r w:rsidR="00A7259A" w:rsidRPr="00A7259A">
        <w:rPr>
          <w:rFonts w:asciiTheme="minorHAnsi" w:hAnsiTheme="minorHAnsi"/>
          <w:sz w:val="24"/>
          <w:szCs w:val="24"/>
          <w:lang w:val="bg-BG"/>
        </w:rPr>
        <w:t xml:space="preserve"> вноските</w:t>
      </w:r>
      <w:r w:rsidR="00871E6B">
        <w:rPr>
          <w:rFonts w:asciiTheme="minorHAnsi" w:hAnsiTheme="minorHAnsi"/>
          <w:sz w:val="24"/>
          <w:szCs w:val="24"/>
          <w:lang w:val="bg-BG"/>
        </w:rPr>
        <w:t xml:space="preserve"> във фонда</w:t>
      </w:r>
      <w:r w:rsidR="00A7259A" w:rsidRPr="00A7259A">
        <w:rPr>
          <w:rFonts w:asciiTheme="minorHAnsi" w:hAnsiTheme="minorHAnsi"/>
          <w:sz w:val="24"/>
          <w:szCs w:val="24"/>
          <w:lang w:val="bg-BG"/>
        </w:rPr>
        <w:t>.</w:t>
      </w:r>
      <w:r w:rsidR="00871E6B">
        <w:rPr>
          <w:rFonts w:asciiTheme="minorHAnsi" w:hAnsiTheme="minorHAnsi"/>
          <w:sz w:val="24"/>
          <w:szCs w:val="24"/>
          <w:lang w:val="bg-BG"/>
        </w:rPr>
        <w:t xml:space="preserve"> Прекратяването на събирането на тези осигурителни вноски беше аргументирано с факта, че във фонда бяха събрани значителни средства, които не се изразходваха. Вече има работеща процедура, обезщетения се изплащат, поради което </w:t>
      </w:r>
      <w:r w:rsidR="00A7259A" w:rsidRPr="00A7259A">
        <w:rPr>
          <w:rFonts w:asciiTheme="minorHAnsi" w:hAnsiTheme="minorHAnsi"/>
          <w:sz w:val="24"/>
          <w:szCs w:val="24"/>
          <w:lang w:val="bg-BG"/>
        </w:rPr>
        <w:t>средствата във фонда са</w:t>
      </w:r>
      <w:r w:rsidR="00871E6B">
        <w:rPr>
          <w:rFonts w:asciiTheme="minorHAnsi" w:hAnsiTheme="minorHAnsi"/>
          <w:sz w:val="24"/>
          <w:szCs w:val="24"/>
          <w:lang w:val="bg-BG"/>
        </w:rPr>
        <w:t xml:space="preserve"> намалели значително. Време е след 10-годишна амнистия, да се поднови захранването на фонд ГВРС със</w:t>
      </w:r>
      <w:r w:rsidR="00A7259A" w:rsidRPr="00A7259A">
        <w:rPr>
          <w:rFonts w:asciiTheme="minorHAnsi" w:hAnsiTheme="minorHAnsi"/>
          <w:sz w:val="24"/>
          <w:szCs w:val="24"/>
          <w:lang w:val="bg-BG"/>
        </w:rPr>
        <w:t xml:space="preserve"> свежи средства.</w:t>
      </w:r>
    </w:p>
    <w:p w:rsidR="00871E6B" w:rsidRDefault="00871E6B" w:rsidP="00A7259A">
      <w:pPr>
        <w:ind w:left="426" w:right="272" w:firstLine="708"/>
        <w:jc w:val="both"/>
        <w:rPr>
          <w:rFonts w:asciiTheme="minorHAnsi" w:hAnsiTheme="minorHAnsi"/>
          <w:sz w:val="24"/>
          <w:szCs w:val="24"/>
          <w:lang w:val="bg-BG"/>
        </w:rPr>
      </w:pPr>
    </w:p>
    <w:p w:rsidR="00A7259A" w:rsidRPr="00A7259A" w:rsidRDefault="00871E6B" w:rsidP="00A7259A">
      <w:pPr>
        <w:ind w:left="426" w:right="272" w:firstLine="708"/>
        <w:jc w:val="both"/>
        <w:rPr>
          <w:rFonts w:asciiTheme="minorHAnsi" w:hAnsiTheme="minorHAnsi"/>
          <w:sz w:val="24"/>
          <w:szCs w:val="24"/>
          <w:lang w:val="bg-BG"/>
        </w:rPr>
      </w:pPr>
      <w:r>
        <w:rPr>
          <w:rFonts w:asciiTheme="minorHAnsi" w:hAnsiTheme="minorHAnsi"/>
          <w:b/>
          <w:sz w:val="24"/>
          <w:szCs w:val="24"/>
          <w:lang w:val="bg-BG"/>
        </w:rPr>
        <w:t>3</w:t>
      </w:r>
      <w:r>
        <w:rPr>
          <w:rFonts w:asciiTheme="minorHAnsi" w:hAnsiTheme="minorHAnsi"/>
          <w:b/>
          <w:sz w:val="24"/>
          <w:szCs w:val="24"/>
        </w:rPr>
        <w:t xml:space="preserve">) </w:t>
      </w:r>
      <w:r w:rsidR="00A7259A" w:rsidRPr="00A7259A">
        <w:rPr>
          <w:rFonts w:asciiTheme="minorHAnsi" w:hAnsiTheme="minorHAnsi"/>
          <w:sz w:val="24"/>
          <w:szCs w:val="24"/>
          <w:lang w:val="bg-BG"/>
        </w:rPr>
        <w:t xml:space="preserve">Регламентира се максимален срок за спиране на изплащането на някои обезщетения (болнични, трудова злополука, трудоустрояване, бременност и раждане, майчинство – чл. 40, ал. 4 т. 2) на 12 месеца. </w:t>
      </w:r>
      <w:r>
        <w:rPr>
          <w:rFonts w:asciiTheme="minorHAnsi" w:hAnsiTheme="minorHAnsi"/>
          <w:sz w:val="24"/>
          <w:szCs w:val="24"/>
          <w:lang w:val="bg-BG"/>
        </w:rPr>
        <w:t xml:space="preserve">КТ „Подкрепа“  намира за положителна стъпка </w:t>
      </w:r>
      <w:r w:rsidR="00A7259A" w:rsidRPr="00A7259A">
        <w:rPr>
          <w:rFonts w:asciiTheme="minorHAnsi" w:hAnsiTheme="minorHAnsi"/>
          <w:sz w:val="24"/>
          <w:szCs w:val="24"/>
          <w:lang w:val="bg-BG"/>
        </w:rPr>
        <w:t>въвежда</w:t>
      </w:r>
      <w:r>
        <w:rPr>
          <w:rFonts w:asciiTheme="minorHAnsi" w:hAnsiTheme="minorHAnsi"/>
          <w:sz w:val="24"/>
          <w:szCs w:val="24"/>
          <w:lang w:val="bg-BG"/>
        </w:rPr>
        <w:t>нето на</w:t>
      </w:r>
      <w:r w:rsidR="00A7259A" w:rsidRPr="00A7259A">
        <w:rPr>
          <w:rFonts w:asciiTheme="minorHAnsi" w:hAnsiTheme="minorHAnsi"/>
          <w:sz w:val="24"/>
          <w:szCs w:val="24"/>
          <w:lang w:val="bg-BG"/>
        </w:rPr>
        <w:t xml:space="preserve"> максимале</w:t>
      </w:r>
      <w:r>
        <w:rPr>
          <w:rFonts w:asciiTheme="minorHAnsi" w:hAnsiTheme="minorHAnsi"/>
          <w:sz w:val="24"/>
          <w:szCs w:val="24"/>
          <w:lang w:val="bg-BG"/>
        </w:rPr>
        <w:t xml:space="preserve">н </w:t>
      </w:r>
      <w:r>
        <w:rPr>
          <w:rFonts w:asciiTheme="minorHAnsi" w:hAnsiTheme="minorHAnsi"/>
          <w:sz w:val="24"/>
          <w:szCs w:val="24"/>
          <w:lang w:val="bg-BG"/>
        </w:rPr>
        <w:lastRenderedPageBreak/>
        <w:t>срок за спиране изплащането на обезщетенията, но смята, че</w:t>
      </w:r>
      <w:r w:rsidR="00A7259A" w:rsidRPr="00A7259A">
        <w:rPr>
          <w:rFonts w:asciiTheme="minorHAnsi" w:hAnsiTheme="minorHAnsi"/>
          <w:sz w:val="24"/>
          <w:szCs w:val="24"/>
          <w:lang w:val="bg-BG"/>
        </w:rPr>
        <w:t xml:space="preserve"> една година е твърде дълъг срок. Същото </w:t>
      </w:r>
      <w:r>
        <w:rPr>
          <w:rFonts w:asciiTheme="minorHAnsi" w:hAnsiTheme="minorHAnsi"/>
          <w:sz w:val="24"/>
          <w:szCs w:val="24"/>
          <w:lang w:val="bg-BG"/>
        </w:rPr>
        <w:t xml:space="preserve">се отнася и за </w:t>
      </w:r>
      <w:r w:rsidR="00A7259A" w:rsidRPr="00A7259A">
        <w:rPr>
          <w:rFonts w:asciiTheme="minorHAnsi" w:hAnsiTheme="minorHAnsi"/>
          <w:sz w:val="24"/>
          <w:szCs w:val="24"/>
          <w:lang w:val="bg-BG"/>
        </w:rPr>
        <w:t>обезщетенията за безработица – чл. 54г, ал. 4, т. 2.</w:t>
      </w:r>
    </w:p>
    <w:p w:rsidR="006F6F90" w:rsidRDefault="006F6F90" w:rsidP="00AB00C5">
      <w:pPr>
        <w:ind w:left="426" w:right="272" w:firstLine="708"/>
        <w:jc w:val="both"/>
        <w:rPr>
          <w:rFonts w:asciiTheme="minorHAnsi" w:hAnsiTheme="minorHAnsi"/>
          <w:sz w:val="24"/>
          <w:szCs w:val="24"/>
          <w:lang w:val="bg-BG"/>
        </w:rPr>
      </w:pPr>
    </w:p>
    <w:p w:rsidR="009B77B9" w:rsidRDefault="00BA27B5" w:rsidP="009B77B9">
      <w:pPr>
        <w:ind w:left="450" w:right="272" w:firstLine="720"/>
        <w:jc w:val="both"/>
        <w:rPr>
          <w:rFonts w:asciiTheme="minorHAnsi" w:hAnsiTheme="minorHAnsi"/>
          <w:sz w:val="24"/>
          <w:szCs w:val="24"/>
          <w:lang w:val="bg-BG"/>
        </w:rPr>
      </w:pPr>
      <w:r>
        <w:rPr>
          <w:rFonts w:asciiTheme="minorHAnsi" w:hAnsiTheme="minorHAnsi"/>
          <w:sz w:val="24"/>
          <w:szCs w:val="24"/>
          <w:lang w:val="bg-BG"/>
        </w:rPr>
        <w:t>КТ „Подкрепа“ смята, че прилагането на направените в това</w:t>
      </w:r>
      <w:r w:rsidR="004E2595">
        <w:rPr>
          <w:rFonts w:asciiTheme="minorHAnsi" w:hAnsiTheme="minorHAnsi"/>
          <w:sz w:val="24"/>
          <w:szCs w:val="24"/>
          <w:lang w:val="bg-BG"/>
        </w:rPr>
        <w:t xml:space="preserve"> наше</w:t>
      </w:r>
      <w:r>
        <w:rPr>
          <w:rFonts w:asciiTheme="minorHAnsi" w:hAnsiTheme="minorHAnsi"/>
          <w:sz w:val="24"/>
          <w:szCs w:val="24"/>
          <w:lang w:val="bg-BG"/>
        </w:rPr>
        <w:t xml:space="preserve"> становище предложения ще спомогне осигурителната ни система да бъде по-справедлива, по-солидарна и ще получи по-високо одобрение от голямата част от българските граждани. А </w:t>
      </w:r>
      <w:r w:rsidR="004E2595">
        <w:rPr>
          <w:rFonts w:asciiTheme="minorHAnsi" w:hAnsiTheme="minorHAnsi"/>
          <w:sz w:val="24"/>
          <w:szCs w:val="24"/>
          <w:lang w:val="bg-BG"/>
        </w:rPr>
        <w:t>доверието</w:t>
      </w:r>
      <w:r>
        <w:rPr>
          <w:rFonts w:asciiTheme="minorHAnsi" w:hAnsiTheme="minorHAnsi"/>
          <w:sz w:val="24"/>
          <w:szCs w:val="24"/>
          <w:lang w:val="bg-BG"/>
        </w:rPr>
        <w:t xml:space="preserve"> е в основата на устойчивостта на публичните системи.</w:t>
      </w:r>
    </w:p>
    <w:p w:rsidR="004E2595" w:rsidRPr="009B77B9" w:rsidRDefault="004E2595" w:rsidP="009B77B9">
      <w:pPr>
        <w:ind w:left="450" w:right="272" w:firstLine="720"/>
        <w:jc w:val="both"/>
        <w:rPr>
          <w:rFonts w:asciiTheme="minorHAnsi" w:hAnsiTheme="minorHAnsi"/>
          <w:sz w:val="24"/>
          <w:szCs w:val="24"/>
          <w:lang w:val="bg-BG"/>
        </w:rPr>
      </w:pPr>
    </w:p>
    <w:p w:rsidR="00763B6D" w:rsidRPr="00763B6D" w:rsidRDefault="00763B6D" w:rsidP="00D11CFE">
      <w:pPr>
        <w:ind w:left="426" w:right="272"/>
        <w:rPr>
          <w:rFonts w:asciiTheme="minorHAnsi" w:hAnsiTheme="minorHAnsi"/>
          <w:sz w:val="24"/>
          <w:szCs w:val="24"/>
          <w:lang w:val="bg-BG"/>
        </w:rPr>
      </w:pPr>
    </w:p>
    <w:p w:rsidR="00763B6D" w:rsidRPr="00763B6D" w:rsidRDefault="00763B6D" w:rsidP="00D11CFE">
      <w:pPr>
        <w:ind w:left="426" w:right="272"/>
        <w:rPr>
          <w:rFonts w:asciiTheme="minorHAnsi" w:hAnsiTheme="minorHAnsi"/>
          <w:lang w:val="bg-BG"/>
        </w:rPr>
      </w:pPr>
    </w:p>
    <w:p w:rsidR="00763B6D" w:rsidRPr="00763B6D" w:rsidRDefault="00763B6D" w:rsidP="00D11CFE">
      <w:pPr>
        <w:ind w:left="426" w:right="272"/>
        <w:rPr>
          <w:rFonts w:asciiTheme="minorHAnsi" w:hAnsiTheme="minorHAnsi"/>
          <w:lang w:val="bg-BG"/>
        </w:rPr>
      </w:pPr>
    </w:p>
    <w:p w:rsidR="00763B6D" w:rsidRPr="00763B6D" w:rsidRDefault="00763B6D" w:rsidP="00AB00C5">
      <w:pPr>
        <w:ind w:left="3420" w:right="272"/>
        <w:rPr>
          <w:rFonts w:asciiTheme="minorHAnsi" w:hAnsiTheme="minorHAnsi"/>
          <w:b/>
          <w:sz w:val="24"/>
          <w:szCs w:val="24"/>
          <w:lang w:val="bg-BG"/>
        </w:rPr>
      </w:pPr>
      <w:r w:rsidRPr="00763B6D">
        <w:rPr>
          <w:rFonts w:asciiTheme="minorHAnsi" w:hAnsiTheme="minorHAnsi"/>
          <w:b/>
          <w:sz w:val="24"/>
          <w:szCs w:val="24"/>
          <w:lang w:val="bg-BG"/>
        </w:rPr>
        <w:t>С УВАЖЕНИЕ:</w:t>
      </w:r>
    </w:p>
    <w:p w:rsidR="00763B6D" w:rsidRPr="00763B6D" w:rsidRDefault="00763B6D" w:rsidP="00AB00C5">
      <w:pPr>
        <w:ind w:left="3420" w:right="272"/>
        <w:rPr>
          <w:rFonts w:asciiTheme="minorHAnsi" w:hAnsiTheme="minorHAnsi"/>
          <w:b/>
          <w:sz w:val="24"/>
          <w:szCs w:val="24"/>
          <w:lang w:val="bg-BG"/>
        </w:rPr>
      </w:pPr>
    </w:p>
    <w:p w:rsidR="00CD6992" w:rsidRPr="00CD6992" w:rsidRDefault="00763B6D" w:rsidP="00CD6992">
      <w:pPr>
        <w:ind w:left="3420" w:right="272"/>
        <w:rPr>
          <w:rFonts w:asciiTheme="minorHAnsi" w:hAnsiTheme="minorHAnsi"/>
          <w:b/>
          <w:sz w:val="24"/>
          <w:szCs w:val="24"/>
          <w:lang w:val="bg-BG"/>
        </w:rPr>
      </w:pPr>
      <w:r w:rsidRPr="00763B6D">
        <w:rPr>
          <w:rFonts w:asciiTheme="minorHAnsi" w:hAnsiTheme="minorHAnsi"/>
          <w:b/>
          <w:sz w:val="24"/>
          <w:szCs w:val="24"/>
          <w:lang w:val="bg-BG"/>
        </w:rPr>
        <w:tab/>
      </w:r>
      <w:r w:rsidRPr="00763B6D">
        <w:rPr>
          <w:rFonts w:asciiTheme="minorHAnsi" w:hAnsiTheme="minorHAnsi"/>
          <w:b/>
          <w:sz w:val="24"/>
          <w:szCs w:val="24"/>
          <w:lang w:val="bg-BG"/>
        </w:rPr>
        <w:tab/>
      </w:r>
      <w:r w:rsidRPr="00763B6D">
        <w:rPr>
          <w:rFonts w:asciiTheme="minorHAnsi" w:hAnsiTheme="minorHAnsi"/>
          <w:b/>
          <w:sz w:val="24"/>
          <w:szCs w:val="24"/>
          <w:lang w:val="bg-BG"/>
        </w:rPr>
        <w:tab/>
      </w:r>
      <w:r w:rsidR="00CD6992" w:rsidRPr="00CD6992">
        <w:rPr>
          <w:rFonts w:asciiTheme="minorHAnsi" w:hAnsiTheme="minorHAnsi"/>
          <w:b/>
          <w:sz w:val="24"/>
          <w:szCs w:val="24"/>
          <w:lang w:val="bg-BG"/>
        </w:rPr>
        <w:t>ИНЖ. ДИМИТЪР МАНОЛОВ</w:t>
      </w:r>
    </w:p>
    <w:p w:rsidR="00EF5947" w:rsidRPr="00136D7D" w:rsidRDefault="00CD6992" w:rsidP="00CD6992">
      <w:pPr>
        <w:ind w:left="3420" w:right="272"/>
        <w:rPr>
          <w:sz w:val="24"/>
          <w:szCs w:val="24"/>
          <w:lang w:val="bg-BG"/>
        </w:rPr>
      </w:pPr>
      <w:r w:rsidRPr="00CD6992">
        <w:rPr>
          <w:rFonts w:asciiTheme="minorHAnsi" w:hAnsiTheme="minorHAnsi"/>
          <w:b/>
          <w:sz w:val="24"/>
          <w:szCs w:val="24"/>
          <w:lang w:val="bg-BG"/>
        </w:rPr>
        <w:tab/>
      </w:r>
      <w:r w:rsidRPr="00CD6992">
        <w:rPr>
          <w:rFonts w:asciiTheme="minorHAnsi" w:hAnsiTheme="minorHAnsi"/>
          <w:b/>
          <w:sz w:val="24"/>
          <w:szCs w:val="24"/>
          <w:lang w:val="bg-BG"/>
        </w:rPr>
        <w:tab/>
      </w:r>
      <w:r w:rsidRPr="00CD6992">
        <w:rPr>
          <w:rFonts w:asciiTheme="minorHAnsi" w:hAnsiTheme="minorHAnsi"/>
          <w:b/>
          <w:sz w:val="24"/>
          <w:szCs w:val="24"/>
          <w:lang w:val="bg-BG"/>
        </w:rPr>
        <w:tab/>
        <w:t>ПРЕЗИДЕНТ НА КТ „ПОДКРЕПА</w:t>
      </w:r>
    </w:p>
    <w:sectPr w:rsidR="00EF5947" w:rsidRPr="00136D7D" w:rsidSect="000501D6">
      <w:headerReference w:type="default" r:id="rId9"/>
      <w:footerReference w:type="default" r:id="rId10"/>
      <w:pgSz w:w="11906" w:h="16838"/>
      <w:pgMar w:top="2102" w:right="566" w:bottom="764" w:left="720" w:header="56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87" w:rsidRDefault="00493687">
      <w:r>
        <w:separator/>
      </w:r>
    </w:p>
  </w:endnote>
  <w:endnote w:type="continuationSeparator" w:id="0">
    <w:p w:rsidR="00493687" w:rsidRDefault="0049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1700"/>
      <w:docPartObj>
        <w:docPartGallery w:val="Page Numbers (Bottom of Page)"/>
        <w:docPartUnique/>
      </w:docPartObj>
    </w:sdtPr>
    <w:sdtEndPr>
      <w:rPr>
        <w:noProof/>
      </w:rPr>
    </w:sdtEndPr>
    <w:sdtContent>
      <w:p w:rsidR="00A02F81" w:rsidRDefault="00A02F81">
        <w:pPr>
          <w:pStyle w:val="Footer"/>
          <w:jc w:val="right"/>
        </w:pPr>
        <w:r>
          <w:fldChar w:fldCharType="begin"/>
        </w:r>
        <w:r>
          <w:instrText xml:space="preserve"> PAGE   \* MERGEFORMAT </w:instrText>
        </w:r>
        <w:r>
          <w:fldChar w:fldCharType="separate"/>
        </w:r>
        <w:r w:rsidR="00C13DE0">
          <w:rPr>
            <w:noProof/>
          </w:rPr>
          <w:t>1</w:t>
        </w:r>
        <w:r>
          <w:rPr>
            <w:noProof/>
          </w:rPr>
          <w:fldChar w:fldCharType="end"/>
        </w:r>
      </w:p>
    </w:sdtContent>
  </w:sdt>
  <w:p w:rsidR="000501D6" w:rsidRDefault="00050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87" w:rsidRDefault="00493687">
      <w:r>
        <w:separator/>
      </w:r>
    </w:p>
  </w:footnote>
  <w:footnote w:type="continuationSeparator" w:id="0">
    <w:p w:rsidR="00493687" w:rsidRDefault="0049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C6" w:rsidRDefault="00D466E7" w:rsidP="00410464">
    <w:pPr>
      <w:pStyle w:val="Heading1"/>
      <w:jc w:val="left"/>
    </w:pPr>
    <w:r>
      <w:rPr>
        <w:noProof/>
        <w:lang w:val="bg-BG" w:eastAsia="bg-BG"/>
      </w:rPr>
      <w:drawing>
        <wp:inline distT="0" distB="0" distL="0" distR="0" wp14:anchorId="78512B62" wp14:editId="5CFA58EB">
          <wp:extent cx="6657975" cy="1143000"/>
          <wp:effectExtent l="0" t="0" r="9525" b="0"/>
          <wp:docPr id="3" name="Picture 3"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143000"/>
                  </a:xfrm>
                  <a:prstGeom prst="rect">
                    <a:avLst/>
                  </a:prstGeom>
                  <a:noFill/>
                  <a:ln>
                    <a:noFill/>
                  </a:ln>
                </pic:spPr>
              </pic:pic>
            </a:graphicData>
          </a:graphic>
        </wp:inline>
      </w:drawing>
    </w:r>
  </w:p>
  <w:p w:rsidR="004B06C6" w:rsidRDefault="004B06C6">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1A63A8"/>
    <w:multiLevelType w:val="hybridMultilevel"/>
    <w:tmpl w:val="C0BECB00"/>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18A0514"/>
    <w:multiLevelType w:val="hybridMultilevel"/>
    <w:tmpl w:val="B346123E"/>
    <w:lvl w:ilvl="0" w:tplc="36CEF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4911"/>
    <w:multiLevelType w:val="hybridMultilevel"/>
    <w:tmpl w:val="A0C2B794"/>
    <w:lvl w:ilvl="0" w:tplc="362CA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20E"/>
    <w:multiLevelType w:val="hybridMultilevel"/>
    <w:tmpl w:val="E5406B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F5639D5"/>
    <w:multiLevelType w:val="hybridMultilevel"/>
    <w:tmpl w:val="22D22412"/>
    <w:lvl w:ilvl="0" w:tplc="291EAFE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3E32755"/>
    <w:multiLevelType w:val="hybridMultilevel"/>
    <w:tmpl w:val="86FC1182"/>
    <w:lvl w:ilvl="0" w:tplc="05945A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37330"/>
    <w:multiLevelType w:val="hybridMultilevel"/>
    <w:tmpl w:val="B6DCA20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657927F7"/>
    <w:multiLevelType w:val="hybridMultilevel"/>
    <w:tmpl w:val="6F5207FC"/>
    <w:lvl w:ilvl="0" w:tplc="040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852D95"/>
    <w:multiLevelType w:val="hybridMultilevel"/>
    <w:tmpl w:val="E4BE03E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1"/>
  </w:num>
  <w:num w:numId="7">
    <w:abstractNumId w:val="6"/>
  </w:num>
  <w:num w:numId="8">
    <w:abstractNumId w:val="7"/>
  </w:num>
  <w:num w:numId="9">
    <w:abstractNumId w:val="4"/>
  </w:num>
  <w:num w:numId="10">
    <w:abstractNumId w:val="8"/>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05"/>
    <w:rsid w:val="0001597F"/>
    <w:rsid w:val="00030D13"/>
    <w:rsid w:val="00041B6B"/>
    <w:rsid w:val="000501D6"/>
    <w:rsid w:val="00063712"/>
    <w:rsid w:val="000A05DF"/>
    <w:rsid w:val="000A1F80"/>
    <w:rsid w:val="000C2F66"/>
    <w:rsid w:val="000D0403"/>
    <w:rsid w:val="000E78E1"/>
    <w:rsid w:val="000F0939"/>
    <w:rsid w:val="000F580F"/>
    <w:rsid w:val="00111E05"/>
    <w:rsid w:val="00136D7D"/>
    <w:rsid w:val="00143B21"/>
    <w:rsid w:val="00166E11"/>
    <w:rsid w:val="0017395B"/>
    <w:rsid w:val="0017481E"/>
    <w:rsid w:val="001825E3"/>
    <w:rsid w:val="001845FE"/>
    <w:rsid w:val="001913BF"/>
    <w:rsid w:val="001B09CE"/>
    <w:rsid w:val="001B2BEB"/>
    <w:rsid w:val="001D0AD1"/>
    <w:rsid w:val="001D10E3"/>
    <w:rsid w:val="001E6C22"/>
    <w:rsid w:val="001F7ECB"/>
    <w:rsid w:val="00204080"/>
    <w:rsid w:val="00204C12"/>
    <w:rsid w:val="00206C23"/>
    <w:rsid w:val="00214948"/>
    <w:rsid w:val="00256C62"/>
    <w:rsid w:val="00275CE0"/>
    <w:rsid w:val="00283176"/>
    <w:rsid w:val="00290B64"/>
    <w:rsid w:val="00295126"/>
    <w:rsid w:val="002D7E37"/>
    <w:rsid w:val="002E194E"/>
    <w:rsid w:val="002E2B94"/>
    <w:rsid w:val="002E3DB0"/>
    <w:rsid w:val="002F7837"/>
    <w:rsid w:val="00323D79"/>
    <w:rsid w:val="00325061"/>
    <w:rsid w:val="003255F7"/>
    <w:rsid w:val="00360CB9"/>
    <w:rsid w:val="00373A9D"/>
    <w:rsid w:val="0038788B"/>
    <w:rsid w:val="003A679C"/>
    <w:rsid w:val="003B2C60"/>
    <w:rsid w:val="003D3F84"/>
    <w:rsid w:val="003D5240"/>
    <w:rsid w:val="0040029E"/>
    <w:rsid w:val="00410464"/>
    <w:rsid w:val="00416F09"/>
    <w:rsid w:val="00421366"/>
    <w:rsid w:val="004607F5"/>
    <w:rsid w:val="0046449E"/>
    <w:rsid w:val="00470962"/>
    <w:rsid w:val="004770F6"/>
    <w:rsid w:val="004836E2"/>
    <w:rsid w:val="00486550"/>
    <w:rsid w:val="00493687"/>
    <w:rsid w:val="00497599"/>
    <w:rsid w:val="004A24C9"/>
    <w:rsid w:val="004A303F"/>
    <w:rsid w:val="004A3FEB"/>
    <w:rsid w:val="004A6C2F"/>
    <w:rsid w:val="004B06C6"/>
    <w:rsid w:val="004B0C3E"/>
    <w:rsid w:val="004B4862"/>
    <w:rsid w:val="004C3AD9"/>
    <w:rsid w:val="004E2595"/>
    <w:rsid w:val="00506DBD"/>
    <w:rsid w:val="005242F2"/>
    <w:rsid w:val="005450D4"/>
    <w:rsid w:val="005477F3"/>
    <w:rsid w:val="00573FDB"/>
    <w:rsid w:val="00576F33"/>
    <w:rsid w:val="00583698"/>
    <w:rsid w:val="00585C4E"/>
    <w:rsid w:val="00586757"/>
    <w:rsid w:val="00590BD2"/>
    <w:rsid w:val="005A2628"/>
    <w:rsid w:val="005A2E74"/>
    <w:rsid w:val="005B784B"/>
    <w:rsid w:val="005D0830"/>
    <w:rsid w:val="005D5EEC"/>
    <w:rsid w:val="005E4493"/>
    <w:rsid w:val="005E7E8C"/>
    <w:rsid w:val="005F42BD"/>
    <w:rsid w:val="0061713B"/>
    <w:rsid w:val="00626299"/>
    <w:rsid w:val="00633B7E"/>
    <w:rsid w:val="00633D21"/>
    <w:rsid w:val="00651709"/>
    <w:rsid w:val="0066416C"/>
    <w:rsid w:val="00680CAC"/>
    <w:rsid w:val="00692A79"/>
    <w:rsid w:val="006A74E8"/>
    <w:rsid w:val="006B112F"/>
    <w:rsid w:val="006B53F9"/>
    <w:rsid w:val="006D2D57"/>
    <w:rsid w:val="006F6F90"/>
    <w:rsid w:val="00755584"/>
    <w:rsid w:val="00763B6D"/>
    <w:rsid w:val="00776F39"/>
    <w:rsid w:val="00781775"/>
    <w:rsid w:val="007A0F71"/>
    <w:rsid w:val="007E7155"/>
    <w:rsid w:val="0080176C"/>
    <w:rsid w:val="00807EEA"/>
    <w:rsid w:val="00830299"/>
    <w:rsid w:val="00830817"/>
    <w:rsid w:val="00835069"/>
    <w:rsid w:val="00851DAD"/>
    <w:rsid w:val="0085535E"/>
    <w:rsid w:val="0085537D"/>
    <w:rsid w:val="00871E6B"/>
    <w:rsid w:val="0087385D"/>
    <w:rsid w:val="008B2C13"/>
    <w:rsid w:val="008C0E99"/>
    <w:rsid w:val="008D457C"/>
    <w:rsid w:val="00910066"/>
    <w:rsid w:val="00921B31"/>
    <w:rsid w:val="0092257C"/>
    <w:rsid w:val="009675C2"/>
    <w:rsid w:val="00992E30"/>
    <w:rsid w:val="0099320A"/>
    <w:rsid w:val="00994507"/>
    <w:rsid w:val="009A2EFF"/>
    <w:rsid w:val="009A7CAC"/>
    <w:rsid w:val="009B1E87"/>
    <w:rsid w:val="009B77B9"/>
    <w:rsid w:val="009C2A00"/>
    <w:rsid w:val="009D18F5"/>
    <w:rsid w:val="009F6B72"/>
    <w:rsid w:val="00A01AC8"/>
    <w:rsid w:val="00A02B75"/>
    <w:rsid w:val="00A02F81"/>
    <w:rsid w:val="00A27620"/>
    <w:rsid w:val="00A34211"/>
    <w:rsid w:val="00A56E64"/>
    <w:rsid w:val="00A7259A"/>
    <w:rsid w:val="00A83CC7"/>
    <w:rsid w:val="00AA31E6"/>
    <w:rsid w:val="00AB00C5"/>
    <w:rsid w:val="00AB64BC"/>
    <w:rsid w:val="00AC1AE1"/>
    <w:rsid w:val="00AE57D4"/>
    <w:rsid w:val="00AE7984"/>
    <w:rsid w:val="00AF06AB"/>
    <w:rsid w:val="00AF5E9E"/>
    <w:rsid w:val="00AF73E1"/>
    <w:rsid w:val="00B0567C"/>
    <w:rsid w:val="00B074A4"/>
    <w:rsid w:val="00B15B96"/>
    <w:rsid w:val="00B35BAC"/>
    <w:rsid w:val="00B37A22"/>
    <w:rsid w:val="00B452BC"/>
    <w:rsid w:val="00B54BC6"/>
    <w:rsid w:val="00B577AE"/>
    <w:rsid w:val="00B75D92"/>
    <w:rsid w:val="00B917C9"/>
    <w:rsid w:val="00B92712"/>
    <w:rsid w:val="00B94049"/>
    <w:rsid w:val="00BA27B5"/>
    <w:rsid w:val="00BA2D96"/>
    <w:rsid w:val="00BA532F"/>
    <w:rsid w:val="00BB1240"/>
    <w:rsid w:val="00BB246A"/>
    <w:rsid w:val="00BB53A6"/>
    <w:rsid w:val="00BC4573"/>
    <w:rsid w:val="00BD4FE6"/>
    <w:rsid w:val="00C04F4D"/>
    <w:rsid w:val="00C07F31"/>
    <w:rsid w:val="00C10A1F"/>
    <w:rsid w:val="00C13DE0"/>
    <w:rsid w:val="00C56452"/>
    <w:rsid w:val="00C609B5"/>
    <w:rsid w:val="00CB659C"/>
    <w:rsid w:val="00CC7A37"/>
    <w:rsid w:val="00CD6992"/>
    <w:rsid w:val="00CF7B23"/>
    <w:rsid w:val="00D069A4"/>
    <w:rsid w:val="00D11CFE"/>
    <w:rsid w:val="00D466E7"/>
    <w:rsid w:val="00D80BF4"/>
    <w:rsid w:val="00DA07AB"/>
    <w:rsid w:val="00DD13E0"/>
    <w:rsid w:val="00DF18D0"/>
    <w:rsid w:val="00E0085B"/>
    <w:rsid w:val="00E009DD"/>
    <w:rsid w:val="00E10C17"/>
    <w:rsid w:val="00E16824"/>
    <w:rsid w:val="00E253BB"/>
    <w:rsid w:val="00E341BA"/>
    <w:rsid w:val="00E50FA6"/>
    <w:rsid w:val="00E5126D"/>
    <w:rsid w:val="00E6076D"/>
    <w:rsid w:val="00E6799A"/>
    <w:rsid w:val="00E769B7"/>
    <w:rsid w:val="00E80D18"/>
    <w:rsid w:val="00EB2E06"/>
    <w:rsid w:val="00EB3927"/>
    <w:rsid w:val="00EB49F6"/>
    <w:rsid w:val="00EE0D08"/>
    <w:rsid w:val="00EE2989"/>
    <w:rsid w:val="00EE3F14"/>
    <w:rsid w:val="00EF1563"/>
    <w:rsid w:val="00EF5947"/>
    <w:rsid w:val="00F04AE5"/>
    <w:rsid w:val="00F22CEB"/>
    <w:rsid w:val="00F53B5C"/>
    <w:rsid w:val="00F669B2"/>
    <w:rsid w:val="00F8191C"/>
    <w:rsid w:val="00F8323D"/>
    <w:rsid w:val="00F939C5"/>
    <w:rsid w:val="00FB2BCC"/>
    <w:rsid w:val="00FC4B6F"/>
    <w:rsid w:val="00FE135B"/>
    <w:rsid w:val="00FE69CB"/>
    <w:rsid w:val="00FF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727CF5E-E6CA-426F-9DFD-9CEDCBB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both"/>
      <w:outlineLvl w:val="0"/>
    </w:pPr>
    <w:rPr>
      <w:rFonts w:ascii="Verdana" w:hAnsi="Verdana"/>
      <w:b/>
    </w:rPr>
  </w:style>
  <w:style w:type="paragraph" w:styleId="Heading2">
    <w:name w:val="heading 2"/>
    <w:basedOn w:val="Normal"/>
    <w:next w:val="Normal"/>
    <w:qFormat/>
    <w:pPr>
      <w:keepNext/>
      <w:numPr>
        <w:ilvl w:val="1"/>
        <w:numId w:val="1"/>
      </w:numPr>
      <w:jc w:val="center"/>
      <w:outlineLvl w:val="1"/>
    </w:pPr>
    <w:rPr>
      <w:rFonts w:ascii="Verdana" w:hAnsi="Verdana"/>
      <w:b/>
      <w:lang w:val="bg-BG"/>
    </w:rPr>
  </w:style>
  <w:style w:type="paragraph" w:styleId="Heading3">
    <w:name w:val="heading 3"/>
    <w:basedOn w:val="Normal"/>
    <w:next w:val="Normal"/>
    <w:qFormat/>
    <w:pPr>
      <w:keepNext/>
      <w:numPr>
        <w:ilvl w:val="2"/>
        <w:numId w:val="1"/>
      </w:numPr>
      <w:spacing w:before="240" w:after="60"/>
      <w:outlineLvl w:val="2"/>
    </w:pPr>
    <w:rPr>
      <w:rFonts w:ascii="Arial" w:hAnsi="Arial"/>
      <w:sz w:val="24"/>
      <w:lang w:val="en-AU"/>
    </w:rPr>
  </w:style>
  <w:style w:type="paragraph" w:styleId="Heading4">
    <w:name w:val="heading 4"/>
    <w:basedOn w:val="Normal"/>
    <w:next w:val="Normal"/>
    <w:qFormat/>
    <w:pPr>
      <w:keepNext/>
      <w:numPr>
        <w:ilvl w:val="3"/>
        <w:numId w:val="1"/>
      </w:numPr>
      <w:spacing w:before="100" w:after="100"/>
      <w:jc w:val="center"/>
      <w:outlineLvl w:val="3"/>
    </w:pPr>
    <w:rPr>
      <w:b/>
      <w:i/>
      <w:sz w:val="24"/>
      <w:u w:val="single"/>
    </w:rPr>
  </w:style>
  <w:style w:type="paragraph" w:styleId="Heading5">
    <w:name w:val="heading 5"/>
    <w:basedOn w:val="Normal"/>
    <w:next w:val="Normal"/>
    <w:qFormat/>
    <w:pPr>
      <w:keepNext/>
      <w:numPr>
        <w:ilvl w:val="4"/>
        <w:numId w:val="1"/>
      </w:numPr>
      <w:outlineLvl w:val="4"/>
    </w:pPr>
    <w:rPr>
      <w:b/>
      <w:sz w:val="24"/>
      <w:lang w:val="bg-BG"/>
    </w:rPr>
  </w:style>
  <w:style w:type="paragraph" w:styleId="Heading6">
    <w:name w:val="heading 6"/>
    <w:basedOn w:val="Normal"/>
    <w:next w:val="Normal"/>
    <w:qFormat/>
    <w:pPr>
      <w:keepNext/>
      <w:numPr>
        <w:ilvl w:val="5"/>
        <w:numId w:val="1"/>
      </w:numPr>
      <w:jc w:val="center"/>
      <w:outlineLvl w:val="5"/>
    </w:pPr>
    <w:rPr>
      <w:b/>
      <w:bCs/>
      <w:sz w:val="24"/>
    </w:rPr>
  </w:style>
  <w:style w:type="paragraph" w:styleId="Heading7">
    <w:name w:val="heading 7"/>
    <w:basedOn w:val="Normal"/>
    <w:next w:val="Normal"/>
    <w:qFormat/>
    <w:pPr>
      <w:keepNext/>
      <w:numPr>
        <w:ilvl w:val="6"/>
        <w:numId w:val="1"/>
      </w:numPr>
      <w:jc w:val="center"/>
      <w:outlineLvl w:val="6"/>
    </w:pPr>
    <w:rPr>
      <w:b/>
      <w:bCs/>
      <w:sz w:val="28"/>
    </w:rPr>
  </w:style>
  <w:style w:type="paragraph" w:styleId="Heading8">
    <w:name w:val="heading 8"/>
    <w:basedOn w:val="Normal"/>
    <w:next w:val="Normal"/>
    <w:qFormat/>
    <w:pPr>
      <w:keepNext/>
      <w:numPr>
        <w:ilvl w:val="7"/>
        <w:numId w:val="1"/>
      </w:numPr>
      <w:outlineLvl w:val="7"/>
    </w:pPr>
    <w:rPr>
      <w:sz w:val="28"/>
      <w:lang w:val="bg-BG"/>
    </w:rPr>
  </w:style>
  <w:style w:type="paragraph" w:styleId="Heading9">
    <w:name w:val="heading 9"/>
    <w:basedOn w:val="Normal"/>
    <w:next w:val="Normal"/>
    <w:qFormat/>
    <w:pPr>
      <w:keepNext/>
      <w:numPr>
        <w:ilvl w:val="8"/>
        <w:numId w:val="1"/>
      </w:numPr>
      <w:outlineLvl w:val="8"/>
    </w:pPr>
    <w:rPr>
      <w:b/>
      <w:bCs/>
      <w:color w:val="0000FF"/>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sz w:val="16"/>
    </w:rPr>
  </w:style>
  <w:style w:type="character" w:customStyle="1" w:styleId="WW8Num8z0">
    <w:name w:val="WW8Num8z0"/>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5z0">
    <w:name w:val="WW8Num15z0"/>
    <w:rPr>
      <w:sz w:val="24"/>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contenttitle1">
    <w:name w:val="content_title1"/>
    <w:rPr>
      <w:rFonts w:ascii="Arial" w:hAnsi="Arial" w:cs="Arial"/>
      <w:b/>
      <w:bCs/>
      <w:strike w:val="0"/>
      <w:dstrike w:val="0"/>
      <w:color w:val="0B175D"/>
      <w:sz w:val="20"/>
      <w:szCs w:val="20"/>
      <w:u w:val="none"/>
    </w:rPr>
  </w:style>
  <w:style w:type="character" w:styleId="Strong">
    <w:name w:val="Strong"/>
    <w:qFormat/>
    <w:rPr>
      <w:b/>
      <w:bCs/>
    </w:rPr>
  </w:style>
  <w:style w:type="character" w:customStyle="1" w:styleId="a">
    <w:name w:val="Водачи"/>
    <w:rPr>
      <w:rFonts w:ascii="OpenSymbol" w:eastAsia="OpenSymbol" w:hAnsi="OpenSymbol" w:cs="OpenSymbol"/>
    </w:rPr>
  </w:style>
  <w:style w:type="character" w:customStyle="1" w:styleId="a0">
    <w:name w:val="Символи за номериране"/>
  </w:style>
  <w:style w:type="paragraph" w:customStyle="1" w:styleId="1">
    <w:name w:val="Заглавие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216"/>
    </w:pPr>
    <w:rPr>
      <w:rFonts w:ascii="TmsCyr" w:hAnsi="TmsCyr"/>
      <w:color w:val="000000"/>
      <w:lang w:val="en-AU"/>
    </w:rPr>
  </w:style>
  <w:style w:type="paragraph" w:styleId="List">
    <w:name w:val="List"/>
    <w:basedOn w:val="BodyText"/>
    <w:rPr>
      <w:rFonts w:cs="Tahoma"/>
    </w:rPr>
  </w:style>
  <w:style w:type="paragraph" w:customStyle="1" w:styleId="10">
    <w:name w:val="Надпис1"/>
    <w:basedOn w:val="Normal"/>
    <w:pPr>
      <w:suppressLineNumbers/>
      <w:spacing w:before="120" w:after="120"/>
    </w:pPr>
    <w:rPr>
      <w:rFonts w:cs="Tahoma"/>
      <w:i/>
      <w:iCs/>
      <w:sz w:val="24"/>
      <w:szCs w:val="24"/>
    </w:rPr>
  </w:style>
  <w:style w:type="paragraph" w:customStyle="1" w:styleId="a1">
    <w:name w:val="Указател"/>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styleId="BodyText2">
    <w:name w:val="Body Text 2"/>
    <w:basedOn w:val="Normal"/>
    <w:pPr>
      <w:jc w:val="both"/>
    </w:pPr>
    <w:rPr>
      <w:b/>
      <w:lang w:val="bg-BG"/>
    </w:rPr>
  </w:style>
  <w:style w:type="paragraph" w:styleId="BodyText3">
    <w:name w:val="Body Text 3"/>
    <w:basedOn w:val="Normal"/>
    <w:pPr>
      <w:jc w:val="both"/>
    </w:pPr>
    <w:rPr>
      <w:sz w:val="24"/>
      <w:lang w:val="bg-BG"/>
    </w:rPr>
  </w:style>
  <w:style w:type="paragraph" w:styleId="BodyTextIndent">
    <w:name w:val="Body Text Indent"/>
    <w:basedOn w:val="Normal"/>
    <w:pPr>
      <w:ind w:firstLine="720"/>
      <w:jc w:val="both"/>
    </w:pPr>
    <w:rPr>
      <w:b/>
      <w:i/>
      <w:lang w:val="bg-BG"/>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styleId="Caption">
    <w:name w:val="caption"/>
    <w:basedOn w:val="Normal"/>
    <w:next w:val="Normal"/>
    <w:qFormat/>
    <w:pPr>
      <w:jc w:val="center"/>
    </w:pPr>
    <w:rPr>
      <w:b/>
      <w:bCs/>
      <w:color w:val="CC3300"/>
      <w:spacing w:val="20"/>
      <w:sz w:val="26"/>
      <w:u w:val="single"/>
    </w:rPr>
  </w:style>
  <w:style w:type="paragraph" w:styleId="BodyTextIndent2">
    <w:name w:val="Body Text Indent 2"/>
    <w:basedOn w:val="Normal"/>
    <w:pPr>
      <w:ind w:left="708"/>
    </w:pPr>
    <w:rPr>
      <w:sz w:val="24"/>
      <w:lang w:val="bg-BG"/>
    </w:rPr>
  </w:style>
  <w:style w:type="paragraph" w:styleId="ListParagraph">
    <w:name w:val="List Paragraph"/>
    <w:basedOn w:val="Normal"/>
    <w:uiPriority w:val="34"/>
    <w:qFormat/>
    <w:rsid w:val="00D466E7"/>
    <w:pPr>
      <w:suppressAutoHyphens w:val="0"/>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D466E7"/>
    <w:pPr>
      <w:suppressAutoHyphens w:val="0"/>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D466E7"/>
    <w:rPr>
      <w:rFonts w:ascii="Calibri" w:eastAsia="Calibri" w:hAnsi="Calibri"/>
    </w:rPr>
  </w:style>
  <w:style w:type="character" w:styleId="FootnoteReference">
    <w:name w:val="footnote reference"/>
    <w:uiPriority w:val="99"/>
    <w:semiHidden/>
    <w:unhideWhenUsed/>
    <w:rsid w:val="00D466E7"/>
    <w:rPr>
      <w:vertAlign w:val="superscript"/>
    </w:rPr>
  </w:style>
  <w:style w:type="character" w:customStyle="1" w:styleId="FooterChar">
    <w:name w:val="Footer Char"/>
    <w:basedOn w:val="DefaultParagraphFont"/>
    <w:link w:val="Footer"/>
    <w:uiPriority w:val="99"/>
    <w:rsid w:val="00692A7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dkrepa.org/statement/%d1%81%d1%82%d0%b0%d0%bd%d0%be%d0%b2%d0%b8%d1%89%d0%b5-%d0%bd%d0%b0-%d0%ba%d1%82-%d0%bf%d0%be%d0%b4%d0%ba%d1%80%d0%b5%d0%bf%d0%b0-%d0%be%d1%82%d0%bd%d0%be%d1%81%d0%bd%d0%be-%d0%bf%d1%80%d0%be-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20D0-5BE2-4EDC-9B87-94AE27F8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ANTET</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"Vanya" &lt;vgrigorova@podkrepa.org&gt;</dc:creator>
  <cp:lastModifiedBy>Microsoft account</cp:lastModifiedBy>
  <cp:revision>2</cp:revision>
  <cp:lastPrinted>2010-08-30T06:44:00Z</cp:lastPrinted>
  <dcterms:created xsi:type="dcterms:W3CDTF">2020-10-21T11:01:00Z</dcterms:created>
  <dcterms:modified xsi:type="dcterms:W3CDTF">2020-10-21T11:01:00Z</dcterms:modified>
</cp:coreProperties>
</file>