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olors1.xml" ContentType="application/vnd.ms-office.chartcolorstyle+xml"/>
  <Override PartName="/word/charts/colors10.xml" ContentType="application/vnd.ms-office.chartcolorstyle+xml"/>
  <Override PartName="/word/charts/colors11.xml" ContentType="application/vnd.ms-office.chartcolorstyle+xml"/>
  <Override PartName="/word/charts/colors12.xml" ContentType="application/vnd.ms-office.chartcolorstyle+xml"/>
  <Override PartName="/word/charts/colors13.xml" ContentType="application/vnd.ms-office.chartcolorstyle+xml"/>
  <Override PartName="/word/charts/colors2.xml" ContentType="application/vnd.ms-office.chartcolorstyle+xml"/>
  <Override PartName="/word/charts/colors3.xml" ContentType="application/vnd.ms-office.chartcolorstyle+xml"/>
  <Override PartName="/word/charts/colors4.xml" ContentType="application/vnd.ms-office.chartcolorstyle+xml"/>
  <Override PartName="/word/charts/colors5.xml" ContentType="application/vnd.ms-office.chartcolorstyle+xml"/>
  <Override PartName="/word/charts/colors6.xml" ContentType="application/vnd.ms-office.chartcolorstyle+xml"/>
  <Override PartName="/word/charts/colors7.xml" ContentType="application/vnd.ms-office.chartcolorstyle+xml"/>
  <Override PartName="/word/charts/colors8.xml" ContentType="application/vnd.ms-office.chartcolorstyle+xml"/>
  <Override PartName="/word/charts/colors9.xml" ContentType="application/vnd.ms-office.chartcolorstyle+xml"/>
  <Override PartName="/word/charts/style1.xml" ContentType="application/vnd.ms-office.chartstyle+xml"/>
  <Override PartName="/word/charts/style10.xml" ContentType="application/vnd.ms-office.chartstyle+xml"/>
  <Override PartName="/word/charts/style11.xml" ContentType="application/vnd.ms-office.chartstyle+xml"/>
  <Override PartName="/word/charts/style12.xml" ContentType="application/vnd.ms-office.chartstyle+xml"/>
  <Override PartName="/word/charts/style13.xml" ContentType="application/vnd.ms-office.chartstyle+xml"/>
  <Override PartName="/word/charts/style2.xml" ContentType="application/vnd.ms-office.chartstyle+xml"/>
  <Override PartName="/word/charts/style3.xml" ContentType="application/vnd.ms-office.chartstyle+xml"/>
  <Override PartName="/word/charts/style4.xml" ContentType="application/vnd.ms-office.chartstyle+xml"/>
  <Override PartName="/word/charts/style5.xml" ContentType="application/vnd.ms-office.chartstyle+xml"/>
  <Override PartName="/word/charts/style6.xml" ContentType="application/vnd.ms-office.chartstyle+xml"/>
  <Override PartName="/word/charts/style7.xml" ContentType="application/vnd.ms-office.chartstyle+xml"/>
  <Override PartName="/word/charts/style8.xml" ContentType="application/vnd.ms-office.chartstyle+xml"/>
  <Override PartName="/word/charts/style9.xml" ContentType="application/vnd.ms-office.chart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theme/themeOverride1.xml" ContentType="application/vnd.openxmlformats-officedocument.themeOverride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theme/themeOverride6.xml" ContentType="application/vnd.openxmlformats-officedocument.themeOverride+xml"/>
  <Override PartName="/word/theme/themeOverride7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spacing w:after="0"/>
        <w:jc w:val="center"/>
        <w:rPr>
          <w:rFonts w:ascii="Times New Roman" w:hAnsi="Times New Roman"/>
          <w:b/>
          <w:caps/>
        </w:rPr>
      </w:pPr>
    </w:p>
    <w:p>
      <w:pPr>
        <w:spacing w:after="0"/>
        <w:jc w:val="center"/>
        <w:rPr>
          <w:rFonts w:ascii="Times New Roman" w:hAnsi="Times New Roman"/>
          <w:b/>
          <w:caps/>
          <w:sz w:val="28"/>
        </w:rPr>
      </w:pPr>
      <w:r>
        <w:rPr>
          <w:rFonts w:ascii="Times New Roman" w:hAnsi="Times New Roman"/>
          <w:b/>
          <w:caps/>
          <w:sz w:val="28"/>
        </w:rPr>
        <w:t xml:space="preserve">Социално-икономически характеристики на населението </w:t>
      </w:r>
    </w:p>
    <w:p>
      <w:pPr>
        <w:spacing w:after="0"/>
        <w:jc w:val="center"/>
        <w:rPr>
          <w:rFonts w:ascii="Times New Roman" w:hAnsi="Times New Roman"/>
          <w:b/>
          <w:caps/>
          <w:sz w:val="28"/>
        </w:rPr>
      </w:pPr>
      <w:r>
        <w:rPr>
          <w:rFonts w:ascii="Times New Roman" w:hAnsi="Times New Roman"/>
          <w:b/>
          <w:caps/>
          <w:sz w:val="28"/>
        </w:rPr>
        <w:t xml:space="preserve">към 7 септември 2021 година </w:t>
      </w:r>
    </w:p>
    <w:p>
      <w:pPr>
        <w:spacing w:after="12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>
      <w:pPr>
        <w:spacing w:after="100" w:afterAutospacing="1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Образователна структура на населението </w:t>
      </w:r>
    </w:p>
    <w:p>
      <w:pPr>
        <w:spacing w:after="100" w:afterAutospacing="1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Наблюдението на най-високата завършена степен на образование започва от преброяването, проведено през 1934 година. За целия период до 2021 г. образователната структура на населението на 7 и повече навършени години значително се подобрява, следвайки ясно изразена тенденция на увеличение на броя и дела на населението с висше и средно образование и намаляване на броя на хората с основно и по</w:t>
      </w:r>
      <w:r>
        <w:rPr>
          <w:rFonts w:ascii="Times New Roman" w:hAnsi="Times New Roman"/>
          <w:sz w:val="24"/>
          <w:lang w:val="en-US"/>
        </w:rPr>
        <w:t>-</w:t>
      </w:r>
      <w:r>
        <w:rPr>
          <w:rFonts w:ascii="Times New Roman" w:hAnsi="Times New Roman"/>
          <w:sz w:val="24"/>
        </w:rPr>
        <w:t xml:space="preserve">ниско образование. </w:t>
      </w:r>
    </w:p>
    <w:p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Фиг. 1. Образователна структура на населението на 7 и повече навършени години по години на преброяванията</w:t>
      </w:r>
    </w:p>
    <w:p>
      <w:pPr>
        <w:jc w:val="center"/>
        <w:rPr>
          <w:rFonts w:ascii="Times New Roman" w:hAnsi="Times New Roman"/>
          <w:b/>
        </w:rPr>
      </w:pPr>
      <w:r>
        <w:drawing>
          <wp:inline distT="0" distB="0" distL="0" distR="0">
            <wp:extent cx="5350510" cy="5172075"/>
            <wp:effectExtent l="0" t="0" r="2540" b="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>
      <w:pPr>
        <w:spacing w:after="120" w:line="240" w:lineRule="auto"/>
        <w:ind w:firstLine="709"/>
        <w:jc w:val="both"/>
        <w:rPr>
          <w:rFonts w:ascii="Times New Roman" w:hAnsi="Times New Roman"/>
        </w:rPr>
      </w:pPr>
    </w:p>
    <w:p>
      <w:pPr>
        <w:spacing w:after="12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Към 7 септември 2021 г. броят на лицата с висше образование е 1 560.0 хил., или всеки четвърти (25.5%) е висшист. В сравнение с предходното преброяване относителният дял на лицата с висше образование се увеличава с 5.9 процентни пункта. Увеличава се и разликата между завършилите висше образование по пол. Относителният дял на жените с висше образование достига 29.3%, а на мъжете </w:t>
      </w:r>
      <w:r>
        <w:rPr>
          <w:rFonts w:ascii="Times New Roman" w:hAnsi="Times New Roman"/>
          <w:sz w:val="24"/>
          <w:lang w:val="en-US"/>
        </w:rPr>
        <w:t xml:space="preserve">- </w:t>
      </w:r>
      <w:r>
        <w:rPr>
          <w:rFonts w:ascii="Times New Roman" w:hAnsi="Times New Roman"/>
          <w:sz w:val="24"/>
        </w:rPr>
        <w:t>21.5%, като в сравнение с 2011 г. се увеличава съответно със 7.0 и 4.8 процентни пункта.</w:t>
      </w:r>
    </w:p>
    <w:p>
      <w:pPr>
        <w:spacing w:after="120" w:line="240" w:lineRule="auto"/>
        <w:ind w:firstLine="709"/>
        <w:jc w:val="both"/>
        <w:rPr>
          <w:rFonts w:ascii="Times New Roman" w:hAnsi="Times New Roman"/>
          <w:sz w:val="24"/>
        </w:rPr>
      </w:pPr>
    </w:p>
    <w:p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Фиг. 2. Относителен дял на населението на 7 и повече навършени години с висше образование по години на преброяванията и пол</w:t>
      </w:r>
    </w:p>
    <w:p>
      <w:pPr>
        <w:jc w:val="center"/>
        <w:rPr>
          <w:rFonts w:ascii="Times New Roman" w:hAnsi="Times New Roman"/>
          <w:b/>
        </w:rPr>
      </w:pPr>
      <w:r>
        <w:drawing>
          <wp:inline distT="0" distB="0" distL="0" distR="0">
            <wp:extent cx="5941060" cy="3442335"/>
            <wp:effectExtent l="0" t="0" r="2540" b="571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>
      <w:pPr>
        <w:spacing w:after="120"/>
        <w:ind w:firstLine="142"/>
        <w:jc w:val="both"/>
        <w:rPr>
          <w:sz w:val="24"/>
        </w:rPr>
      </w:pPr>
      <w:r>
        <w:rPr>
          <w:sz w:val="24"/>
        </w:rPr>
        <w:tab/>
      </w:r>
    </w:p>
    <w:p>
      <w:pPr>
        <w:spacing w:after="12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Значителни са различията и в образователната структура на лицата по местоживеене</w:t>
      </w:r>
      <w:r>
        <w:rPr>
          <w:rFonts w:ascii="Times New Roman" w:hAnsi="Times New Roman" w:cs="Times New Roman"/>
          <w:sz w:val="24"/>
          <w:lang w:val="en-US"/>
        </w:rPr>
        <w:t>.</w:t>
      </w:r>
      <w:r>
        <w:rPr>
          <w:rFonts w:ascii="Times New Roman" w:hAnsi="Times New Roman" w:cs="Times New Roman"/>
          <w:sz w:val="24"/>
        </w:rPr>
        <w:t xml:space="preserve"> Докато относителният дял на лицата с висше образование в градовете е 31.2%, то в селата е 10.2%, или три пъти по-малко.</w:t>
      </w:r>
    </w:p>
    <w:p>
      <w:pPr>
        <w:spacing w:after="120"/>
        <w:ind w:firstLine="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В регионален аспект най-висок е относителният дял на висшистите в област София (столица) - 43.6%, следвана от областите Варна (30.7%) и Пловдив (25.2%), а най-нисък е в областите Кърджали (14.0%), Търговище (15.5%) и Разград (15.7%).</w:t>
      </w: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/>
          <w:b/>
        </w:rPr>
        <w:t xml:space="preserve">Фиг. </w:t>
      </w:r>
      <w:r>
        <w:rPr>
          <w:rFonts w:ascii="Times New Roman" w:hAnsi="Times New Roman"/>
          <w:b/>
          <w:lang w:val="en-US"/>
        </w:rPr>
        <w:t>3</w:t>
      </w:r>
      <w:r>
        <w:rPr>
          <w:rFonts w:ascii="Times New Roman" w:hAnsi="Times New Roman"/>
          <w:b/>
        </w:rPr>
        <w:t>. Относителен дял на населението на 7 и повече навършени години с висше образование по области към</w:t>
      </w:r>
      <w:r>
        <w:rPr>
          <w:rFonts w:ascii="Times New Roman" w:hAnsi="Times New Roman"/>
          <w:b/>
          <w:lang w:val="en-US"/>
        </w:rPr>
        <w:t xml:space="preserve"> </w:t>
      </w:r>
      <w:r>
        <w:rPr>
          <w:rFonts w:ascii="Times New Roman" w:hAnsi="Times New Roman"/>
          <w:b/>
        </w:rPr>
        <w:t>7 септември 2021 година</w:t>
      </w:r>
    </w:p>
    <w:p>
      <w:pPr>
        <w:spacing w:after="0" w:line="240" w:lineRule="auto"/>
        <w:rPr>
          <w:rFonts w:ascii="Times New Roman" w:hAnsi="Times New Roman" w:cs="Times New Roman"/>
          <w:lang w:val="en-US"/>
        </w:rPr>
      </w:pPr>
    </w:p>
    <w:p>
      <w:pPr>
        <w:spacing w:after="12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845175" cy="411861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123" cy="412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line="240" w:lineRule="auto"/>
        <w:jc w:val="both"/>
        <w:rPr>
          <w:rFonts w:ascii="Times New Roman" w:hAnsi="Times New Roman"/>
          <w:sz w:val="24"/>
        </w:rPr>
      </w:pPr>
    </w:p>
    <w:p>
      <w:pPr>
        <w:spacing w:after="12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Към 7 септември 2021 г. </w:t>
      </w:r>
      <w:r>
        <w:rPr>
          <w:rFonts w:ascii="Times New Roman" w:hAnsi="Times New Roman"/>
          <w:sz w:val="24"/>
          <w:lang w:val="en-US"/>
        </w:rPr>
        <w:t>2 695.8</w:t>
      </w:r>
      <w:r>
        <w:rPr>
          <w:rFonts w:ascii="Times New Roman" w:hAnsi="Times New Roman"/>
          <w:sz w:val="24"/>
        </w:rPr>
        <w:t xml:space="preserve"> хил. лица са със завършена най-висока степен на средно образование. От тях </w:t>
      </w:r>
      <w:r>
        <w:rPr>
          <w:rFonts w:ascii="Times New Roman" w:hAnsi="Times New Roman"/>
          <w:sz w:val="24"/>
          <w:lang w:val="en-US"/>
        </w:rPr>
        <w:t>33.6</w:t>
      </w:r>
      <w:r>
        <w:rPr>
          <w:rFonts w:ascii="Times New Roman" w:hAnsi="Times New Roman"/>
          <w:sz w:val="24"/>
        </w:rPr>
        <w:t xml:space="preserve">% са завършили общообразователни (гимназиални) програми, а </w:t>
      </w:r>
      <w:r>
        <w:rPr>
          <w:rFonts w:ascii="Times New Roman" w:hAnsi="Times New Roman"/>
          <w:sz w:val="24"/>
          <w:lang w:val="en-US"/>
        </w:rPr>
        <w:t>66.4</w:t>
      </w:r>
      <w:r>
        <w:rPr>
          <w:rFonts w:ascii="Times New Roman" w:hAnsi="Times New Roman"/>
          <w:sz w:val="24"/>
        </w:rPr>
        <w:t>% - професионални програми, включващи придобиването на втора или трета степен на професионална квалификация, или еквивалентните в миналото техникуми и средни политехнически училища (СПТУ). Професионалното средно образование е по-разпространено при мъжете (57.2%) отколкото при жените (42.8%). Програми за професионално обучение след средно образование (</w:t>
      </w:r>
      <w:r>
        <w:rPr>
          <w:rFonts w:ascii="Times New Roman" w:hAnsi="Times New Roman"/>
          <w:sz w:val="24"/>
          <w:lang w:val="en-US"/>
        </w:rPr>
        <w:t>IV</w:t>
      </w:r>
      <w:r>
        <w:rPr>
          <w:rFonts w:ascii="Times New Roman" w:hAnsi="Times New Roman"/>
          <w:sz w:val="24"/>
        </w:rPr>
        <w:t xml:space="preserve"> степен професионална квалификация) са завършили 78.9 хил. лица, а 103.8 хил. лица са със завършен първи гимназиален етап на средното образование. </w:t>
      </w:r>
    </w:p>
    <w:p>
      <w:pPr>
        <w:spacing w:after="12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Продължава положителната тенденция на намаляване на лицата с ниско или без образование. Завършилите начално образование са </w:t>
      </w:r>
      <w:r>
        <w:rPr>
          <w:rFonts w:ascii="Times New Roman" w:hAnsi="Times New Roman"/>
          <w:sz w:val="24"/>
          <w:lang w:val="en-US"/>
        </w:rPr>
        <w:t xml:space="preserve">353.5 </w:t>
      </w:r>
      <w:r>
        <w:rPr>
          <w:rFonts w:ascii="Times New Roman" w:hAnsi="Times New Roman"/>
          <w:sz w:val="24"/>
        </w:rPr>
        <w:t>хил. лица; започналите, но незавършили начално образование са 271.7 хиляди и никога непосещавалите училище са 41.6 хиляди. Спрямо 2011 г. относителните дялове от населението на 7 и повече навършени години намаляват съответно с 2.0, 0.3 и 0.5 проценти пункта.</w:t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регионален аспект най-нисък е делът на лицата с начално и по-ниско образование в областите Габрово (7.4%), Перник (8.0%) и София (столица) (8.1%), а най-висок е в областите Сливен (20.4%), Кърджали (14.6%) и Силистра (14.3%).</w:t>
      </w:r>
    </w:p>
    <w:p>
      <w:pPr>
        <w:spacing w:after="120" w:line="240" w:lineRule="auto"/>
        <w:jc w:val="both"/>
        <w:rPr>
          <w:rFonts w:ascii="Times New Roman" w:hAnsi="Times New Roman"/>
        </w:rPr>
      </w:pPr>
    </w:p>
    <w:p>
      <w:pPr>
        <w:spacing w:after="120" w:line="240" w:lineRule="auto"/>
        <w:jc w:val="both"/>
        <w:rPr>
          <w:rFonts w:ascii="Times New Roman" w:hAnsi="Times New Roman"/>
        </w:rPr>
      </w:pPr>
    </w:p>
    <w:p>
      <w:pPr>
        <w:spacing w:after="120" w:line="240" w:lineRule="auto"/>
        <w:jc w:val="both"/>
        <w:rPr>
          <w:rFonts w:ascii="Times New Roman" w:hAnsi="Times New Roman"/>
        </w:rPr>
      </w:pP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b/>
        </w:rPr>
        <w:t>Фиг. 4. Относителен дял на населението на 7 и повече навършени години с начално и по-ниско образование по области към</w:t>
      </w:r>
      <w:r>
        <w:rPr>
          <w:rFonts w:ascii="Times New Roman" w:hAnsi="Times New Roman"/>
          <w:b/>
          <w:lang w:val="en-US"/>
        </w:rPr>
        <w:t xml:space="preserve"> </w:t>
      </w:r>
      <w:r>
        <w:rPr>
          <w:rFonts w:ascii="Times New Roman" w:hAnsi="Times New Roman"/>
          <w:b/>
        </w:rPr>
        <w:t>7 септември 2021 година</w:t>
      </w:r>
    </w:p>
    <w:p>
      <w:pPr>
        <w:spacing w:after="12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502910" cy="389255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118" cy="389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sz w:val="24"/>
        </w:rPr>
        <w:t>Грамотност на населението</w:t>
      </w:r>
    </w:p>
    <w:p>
      <w:pPr>
        <w:spacing w:after="12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Грамотността се дефинира като умението да се чете и пише и е традиционен въпрос в преброяванията на населението. Докато през 1893 г. 80.1% от населението на 9 и повече навършени години е било неграмотно, то този дял спада до 1.3% през 2021 година. Спрямо 2001 г. намалението на дела на неграмотните е 0.4 процентни пункта.</w:t>
      </w:r>
    </w:p>
    <w:p>
      <w:pPr>
        <w:spacing w:after="120" w:line="240" w:lineRule="auto"/>
        <w:jc w:val="both"/>
        <w:rPr>
          <w:rFonts w:ascii="Times New Roman" w:hAnsi="Times New Roman"/>
          <w:sz w:val="24"/>
        </w:rPr>
      </w:pP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Фиг. 5. Относителен дял на неграмотното население на 9 и повече навършени години по години на преброяванията</w:t>
      </w:r>
      <w:r>
        <w:rPr>
          <w:rFonts w:ascii="Times New Roman" w:hAnsi="Times New Roman"/>
        </w:rPr>
        <w:t xml:space="preserve"> </w:t>
      </w:r>
    </w:p>
    <w:p>
      <w:pPr>
        <w:jc w:val="center"/>
        <w:rPr>
          <w:rFonts w:ascii="Times New Roman" w:hAnsi="Times New Roman"/>
        </w:rPr>
      </w:pPr>
      <w:r>
        <w:drawing>
          <wp:inline distT="0" distB="0" distL="0" distR="0">
            <wp:extent cx="5435600" cy="2581275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Делът на неграмотното население е по-висок в селата (2.3%) отколкото в градовете (0.9%). Най-висок е относителният дял на неграмотните в областите Сливен (5.0%), Кърджали и Ямбол с по 2.6%, а най-нисък е в област София (столица) - 0.4%.</w:t>
      </w: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Фиг. 6. Относителен дял на неграмотните лица на 9 и повече навършени години по области към</w:t>
      </w:r>
      <w:r>
        <w:rPr>
          <w:rFonts w:ascii="Times New Roman" w:hAnsi="Times New Roman"/>
          <w:b/>
          <w:lang w:val="en-US"/>
        </w:rPr>
        <w:t xml:space="preserve"> </w:t>
      </w:r>
      <w:r>
        <w:rPr>
          <w:rFonts w:ascii="Times New Roman" w:hAnsi="Times New Roman"/>
          <w:b/>
        </w:rPr>
        <w:t>7 септември 2021 година</w:t>
      </w:r>
    </w:p>
    <w:p>
      <w:pPr>
        <w:spacing w:after="12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941060" cy="4203065"/>
            <wp:effectExtent l="0" t="0" r="254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line="240" w:lineRule="auto"/>
        <w:jc w:val="both"/>
        <w:rPr>
          <w:rFonts w:ascii="Times New Roman" w:hAnsi="Times New Roman"/>
          <w:b/>
          <w:sz w:val="24"/>
        </w:rPr>
      </w:pPr>
    </w:p>
    <w:p>
      <w:pPr>
        <w:spacing w:after="12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Участие във формално образование </w:t>
      </w:r>
    </w:p>
    <w:p>
      <w:pPr>
        <w:spacing w:after="120" w:line="24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sz w:val="24"/>
        </w:rPr>
        <w:t xml:space="preserve">Към 7.09.2021 г. 951.6 хил. лица, или 14.6% от населението на страната, са били записани във формалната образователна система за придобиване на образователна степен и/или степен на професионална квалификация. Извън участие в образователния процес са 24 913 деца в задължителната училищна възраст (7 - 15 години). </w:t>
      </w:r>
      <w:r>
        <w:rPr>
          <w:rFonts w:ascii="Times New Roman" w:hAnsi="Times New Roman"/>
          <w:sz w:val="24"/>
          <w:lang w:val="en-US"/>
        </w:rPr>
        <w:t xml:space="preserve"> 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>
      <w:pPr>
        <w:spacing w:after="12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Икономически характеристики на населението</w:t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Всички данни за икономическите характеристики на населението се отнасят до положението на лицата на пазара на труда през седмицата, предхождаща критичния момент на преброяването – 31 август – 6 септември 2021 година.</w:t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Икономически активното население обхваща всички лица на 15 и повече навършени години, които са заети или безработни през наблюдавания период. </w:t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През наблюдавания период в страната има </w:t>
      </w:r>
      <w:r>
        <w:rPr>
          <w:rFonts w:ascii="Times New Roman" w:hAnsi="Times New Roman"/>
          <w:sz w:val="24"/>
          <w:lang w:val="en-US"/>
        </w:rPr>
        <w:t xml:space="preserve">2 953 937 </w:t>
      </w:r>
      <w:r>
        <w:rPr>
          <w:rFonts w:ascii="Times New Roman" w:hAnsi="Times New Roman"/>
          <w:sz w:val="24"/>
        </w:rPr>
        <w:t>икономически активни лица на възраст 15 и повече навършени години, или 45.3% от населението на страната. От тях 2 661 292 са заети, а 292 645 са безработни.</w:t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</w:p>
    <w:p>
      <w:pPr>
        <w:spacing w:after="12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Фиг. 7. Икономически активно население по години на преброяванията</w:t>
      </w:r>
    </w:p>
    <w:p>
      <w:pPr>
        <w:spacing w:after="120" w:line="240" w:lineRule="auto"/>
        <w:jc w:val="center"/>
        <w:rPr>
          <w:rFonts w:ascii="Times New Roman" w:hAnsi="Times New Roman"/>
        </w:rPr>
      </w:pPr>
      <w:r>
        <w:drawing>
          <wp:inline distT="0" distB="0" distL="0" distR="0">
            <wp:extent cx="5076825" cy="23241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Броят на икономически активните лица нараства до 1985 г., когато достига и най-високата си стойност - 4 686 140 души. През следващите години той намалява, за да достигне </w:t>
      </w:r>
      <w:r>
        <w:rPr>
          <w:rFonts w:ascii="Times New Roman" w:hAnsi="Times New Roman"/>
          <w:sz w:val="24"/>
          <w:lang w:val="en-US"/>
        </w:rPr>
        <w:t xml:space="preserve">2 953 937 </w:t>
      </w:r>
      <w:r>
        <w:rPr>
          <w:rFonts w:ascii="Times New Roman" w:hAnsi="Times New Roman"/>
          <w:sz w:val="24"/>
        </w:rPr>
        <w:t>души към 7 септември 2021 година. Спрямо 2011 г. броят на икономически активните лица намалява с 376 хил. души, или с 11.3%.</w:t>
      </w:r>
    </w:p>
    <w:p>
      <w:pPr>
        <w:spacing w:after="120" w:line="240" w:lineRule="auto"/>
        <w:jc w:val="both"/>
        <w:rPr>
          <w:rFonts w:ascii="Times New Roman" w:hAnsi="Times New Roman"/>
        </w:rPr>
      </w:pPr>
    </w:p>
    <w:p>
      <w:pPr>
        <w:spacing w:after="12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Фиг. 8. Относителен дял на икономически активното население по пол и години на преброяванията</w:t>
      </w:r>
    </w:p>
    <w:p>
      <w:pPr>
        <w:spacing w:after="120" w:line="240" w:lineRule="auto"/>
        <w:jc w:val="center"/>
        <w:rPr>
          <w:rFonts w:ascii="Times New Roman" w:hAnsi="Times New Roman"/>
          <w:b/>
        </w:rPr>
      </w:pPr>
      <w:r>
        <w:drawing>
          <wp:inline distT="0" distB="0" distL="0" distR="0">
            <wp:extent cx="5305425" cy="2581275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>
      <w:pPr>
        <w:spacing w:after="120" w:line="240" w:lineRule="auto"/>
        <w:jc w:val="both"/>
        <w:rPr>
          <w:rFonts w:ascii="Times New Roman" w:hAnsi="Times New Roman"/>
          <w:b/>
        </w:rPr>
      </w:pPr>
    </w:p>
    <w:p>
      <w:pPr>
        <w:spacing w:after="120" w:line="240" w:lineRule="auto"/>
        <w:jc w:val="both"/>
        <w:rPr>
          <w:rFonts w:ascii="Times New Roman" w:hAnsi="Times New Roman"/>
          <w:b/>
        </w:rPr>
      </w:pPr>
    </w:p>
    <w:p>
      <w:pPr>
        <w:spacing w:after="12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Икономически активни лица на възраст 15 - 64 навършени години</w:t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През наблюдавания период в страната има 2 835 хил. икономически активни лица на възраст между 15 и 64 навършени години. Относителна мярка за степента на участие на населението в пазара на труда е коефициентът за икономическа активност, изчислен като отношение на броя на икономически активните лица към населението във възрастовата група 15 - 64 навършени години. Общо за страната коефициентът на икономическа активност </w:t>
      </w:r>
      <w:r>
        <w:rPr>
          <w:rFonts w:ascii="Times New Roman" w:hAnsi="Times New Roman"/>
          <w:sz w:val="24"/>
          <w:lang w:val="en-US"/>
        </w:rPr>
        <w:t>e</w:t>
      </w:r>
      <w:r>
        <w:rPr>
          <w:rFonts w:ascii="Times New Roman" w:hAnsi="Times New Roman"/>
          <w:sz w:val="24"/>
        </w:rPr>
        <w:t xml:space="preserve"> 6</w:t>
      </w:r>
      <w:r>
        <w:rPr>
          <w:rFonts w:ascii="Times New Roman" w:hAnsi="Times New Roman"/>
          <w:sz w:val="24"/>
          <w:lang w:val="en-US"/>
        </w:rPr>
        <w:t>9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  <w:lang w:val="en-US"/>
        </w:rPr>
        <w:t>7</w:t>
      </w:r>
      <w:r>
        <w:rPr>
          <w:rFonts w:ascii="Times New Roman" w:hAnsi="Times New Roman"/>
          <w:sz w:val="24"/>
        </w:rPr>
        <w:t>% (</w:t>
      </w:r>
      <w:r>
        <w:rPr>
          <w:rFonts w:ascii="Times New Roman" w:hAnsi="Times New Roman"/>
          <w:sz w:val="24"/>
          <w:lang w:val="en-US"/>
        </w:rPr>
        <w:t>70.8</w:t>
      </w:r>
      <w:r>
        <w:rPr>
          <w:rFonts w:ascii="Times New Roman" w:hAnsi="Times New Roman"/>
          <w:sz w:val="24"/>
        </w:rPr>
        <w:t xml:space="preserve">% за мъжете и </w:t>
      </w:r>
      <w:r>
        <w:rPr>
          <w:rFonts w:ascii="Times New Roman" w:hAnsi="Times New Roman"/>
          <w:sz w:val="24"/>
          <w:lang w:val="en-US"/>
        </w:rPr>
        <w:t>68.5</w:t>
      </w:r>
      <w:r>
        <w:rPr>
          <w:rFonts w:ascii="Times New Roman" w:hAnsi="Times New Roman"/>
          <w:sz w:val="24"/>
        </w:rPr>
        <w:t>% за жените).</w:t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 най-висок коефициент на икономическа активност е област София (столица) - </w:t>
      </w:r>
      <w:r>
        <w:rPr>
          <w:rFonts w:ascii="Times New Roman" w:hAnsi="Times New Roman"/>
          <w:sz w:val="24"/>
          <w:lang w:val="en-US"/>
        </w:rPr>
        <w:t>78.6</w:t>
      </w:r>
      <w:r>
        <w:rPr>
          <w:rFonts w:ascii="Times New Roman" w:hAnsi="Times New Roman"/>
          <w:sz w:val="24"/>
        </w:rPr>
        <w:t xml:space="preserve">%, следвана от Габрово - </w:t>
      </w:r>
      <w:r>
        <w:rPr>
          <w:rFonts w:ascii="Times New Roman" w:hAnsi="Times New Roman"/>
          <w:sz w:val="24"/>
          <w:lang w:val="en-US"/>
        </w:rPr>
        <w:t>73.5</w:t>
      </w:r>
      <w:r>
        <w:rPr>
          <w:rFonts w:ascii="Times New Roman" w:hAnsi="Times New Roman"/>
          <w:sz w:val="24"/>
        </w:rPr>
        <w:t>%,</w:t>
      </w:r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 xml:space="preserve">и Перник - 72.1%. Най-нисък е този показател в областите Кърджали - 54.1%, Силистра - 60.6%, и Сливен - 61.1%. </w:t>
      </w:r>
    </w:p>
    <w:p>
      <w:pPr>
        <w:spacing w:after="0" w:line="240" w:lineRule="auto"/>
        <w:jc w:val="center"/>
        <w:rPr>
          <w:rFonts w:ascii="Times New Roman" w:hAnsi="Times New Roman"/>
          <w:b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Фиг. 9. Коефициент на икономическа активност по области </w:t>
      </w:r>
    </w:p>
    <w:p>
      <w:pPr>
        <w:spacing w:after="12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през периода 31 август – 6 септември 2021 година</w:t>
      </w:r>
    </w:p>
    <w:p>
      <w:pPr>
        <w:spacing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322570" cy="3764915"/>
            <wp:effectExtent l="0" t="0" r="1143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650" cy="37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line="240" w:lineRule="auto"/>
        <w:jc w:val="both"/>
        <w:rPr>
          <w:rFonts w:ascii="Times New Roman" w:hAnsi="Times New Roman"/>
          <w:b/>
          <w:sz w:val="24"/>
        </w:rPr>
      </w:pPr>
    </w:p>
    <w:p>
      <w:pPr>
        <w:spacing w:after="12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Заети лица на възраст 15 – 64 навършени години</w:t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>От общия брой икономически активни лица на възраст 15 - 64 години 2 </w:t>
      </w:r>
      <w:r>
        <w:rPr>
          <w:rFonts w:ascii="Times New Roman" w:hAnsi="Times New Roman"/>
          <w:sz w:val="24"/>
          <w:lang w:val="en-US"/>
        </w:rPr>
        <w:t>549</w:t>
      </w:r>
      <w:r>
        <w:rPr>
          <w:rFonts w:ascii="Times New Roman" w:hAnsi="Times New Roman"/>
          <w:sz w:val="24"/>
        </w:rPr>
        <w:t xml:space="preserve"> хил. са заети. Жените са 1 248 хил., или 49.0%, а мъжете - 1 301 хил., или 51%.</w:t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Коефициентът на заетост, изчислен като отношение на броя на заетите лица към населението във възрастовата група 15 - 64 навършени години, е 62.6%. Коефициентът на заетост при мъжете е по-висок от този при жените, съответно </w:t>
      </w:r>
      <w:r>
        <w:rPr>
          <w:rFonts w:ascii="Times New Roman" w:hAnsi="Times New Roman"/>
          <w:sz w:val="24"/>
          <w:lang w:val="en-US"/>
        </w:rPr>
        <w:t>63.3</w:t>
      </w:r>
      <w:r>
        <w:rPr>
          <w:rFonts w:ascii="Times New Roman" w:hAnsi="Times New Roman"/>
          <w:sz w:val="24"/>
        </w:rPr>
        <w:t xml:space="preserve">% и </w:t>
      </w:r>
      <w:r>
        <w:rPr>
          <w:rFonts w:ascii="Times New Roman" w:hAnsi="Times New Roman"/>
          <w:sz w:val="24"/>
          <w:lang w:val="en-US"/>
        </w:rPr>
        <w:t>62.0</w:t>
      </w:r>
      <w:r>
        <w:rPr>
          <w:rFonts w:ascii="Times New Roman" w:hAnsi="Times New Roman"/>
          <w:sz w:val="24"/>
        </w:rPr>
        <w:t>%.</w:t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Повъзрастовите коефициенти на заетост показват, че участието в пазара на труда е най-ниско във възрастовата група 15 - 24 навършени години (26.4%). С повишаване на възрастта показателят се увеличава, като най-висока е стойността му при лицата на възраст 35 - 44 навършени години (74.0%). Коефициентът на заетост е по-нисък в селата отколкото в градовете във всички възрастови групи.</w:t>
      </w:r>
    </w:p>
    <w:p>
      <w:pPr>
        <w:spacing w:after="120" w:line="240" w:lineRule="auto"/>
        <w:jc w:val="center"/>
        <w:rPr>
          <w:rFonts w:ascii="Times New Roman" w:hAnsi="Times New Roman"/>
          <w:b/>
        </w:rPr>
      </w:pPr>
    </w:p>
    <w:p>
      <w:pPr>
        <w:spacing w:after="120" w:line="240" w:lineRule="auto"/>
        <w:jc w:val="center"/>
        <w:rPr>
          <w:rFonts w:ascii="Times New Roman" w:hAnsi="Times New Roman"/>
          <w:b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Фиг. 10. Повъзрастови коефициенти на заетост по местоживеене </w:t>
      </w:r>
    </w:p>
    <w:p>
      <w:pPr>
        <w:spacing w:after="12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през периода 31 август – 6 септември 2021 година</w:t>
      </w:r>
    </w:p>
    <w:p>
      <w:pPr>
        <w:spacing w:after="120" w:line="240" w:lineRule="auto"/>
        <w:jc w:val="both"/>
        <w:rPr>
          <w:rFonts w:ascii="Times New Roman" w:hAnsi="Times New Roman"/>
        </w:rPr>
      </w:pPr>
      <w:r>
        <w:drawing>
          <wp:inline distT="0" distB="0" distL="0" distR="0">
            <wp:extent cx="5389245" cy="2762250"/>
            <wp:effectExtent l="0" t="0" r="1905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>
      <w:pPr>
        <w:spacing w:after="120" w:line="240" w:lineRule="auto"/>
        <w:jc w:val="both"/>
        <w:rPr>
          <w:rFonts w:ascii="Times New Roman" w:hAnsi="Times New Roman"/>
        </w:rPr>
      </w:pP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регионален аспект най-висок е коефициентът на заетост в областите София (столица) - 75.0%, Габрово - 68.0%, и Варна - 65.3%, а най-нисък е в областите Видин - 50.9%, Силистра – 49.6%, и Кърджали - 46.8%. Общо в 21 области този показател е по-нисък от средния за страната.</w:t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Фиг. 11. Коефициент на заетост на лицата на възраст 15 - 64 навършени години по области </w:t>
      </w:r>
    </w:p>
    <w:p>
      <w:pPr>
        <w:spacing w:after="12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през периода 31 август – 6 септември 2021 година</w:t>
      </w:r>
    </w:p>
    <w:p>
      <w:pPr>
        <w:spacing w:after="12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drawing>
          <wp:inline distT="0" distB="0" distL="0" distR="0">
            <wp:extent cx="5029200" cy="35547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033" cy="361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Продължава тенденцията на повишаване на образователния статус на заетите лица. През наблюдавания период с висше образование са 1 001 хил. души, или 39.3% от заетите. Спрямо 2011 г. този дял се увеличава с 6.6 процентни пункта. Образователният статус на заетите жени е по-висок в сравнение с този на заетите мъже. Делът на жените с висше образование от всички заети жени</w:t>
      </w:r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е 47.5</w:t>
      </w:r>
      <w:r>
        <w:rPr>
          <w:rFonts w:ascii="Times New Roman" w:hAnsi="Times New Roman"/>
          <w:sz w:val="24"/>
          <w:lang w:val="en-US"/>
        </w:rPr>
        <w:t>%</w:t>
      </w:r>
      <w:r>
        <w:rPr>
          <w:rFonts w:ascii="Times New Roman" w:hAnsi="Times New Roman"/>
          <w:sz w:val="24"/>
        </w:rPr>
        <w:t>, съответно 31.4% при мъжете.</w:t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През наблюдавания период най-много лица са заети в икономическите дейности „преработваща промишленост“ - 474 хил. души, или 18.6%, „търговия; ремонт на автомобили и мотоциклети“ - 418 хил., или 16.4%, и „държавно управление“ - 202 хил., или 7.9% от заетите лица на възраст 15 - 64 навършени години. </w:t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Налице са различия по пол между заетите в отделните икономически дейности. Мъжете преобладават в икономически дейности като „строителство“, „добивна промишленост“ и „транспорт, складиране и пощи“, а жените преобладават в икономическите дейности „дейност на домакинствата като работодатели“, „образование“ и „хуманно здравеопазване и социална работа“.</w:t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</w:p>
    <w:p>
      <w:pPr>
        <w:spacing w:after="12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Фиг. 12. Разпределение на заетите лица на възраст 15 - 64 навършени години по икономически дейности и пол през периода 31 август – 6 септември 2021 година</w:t>
      </w:r>
    </w:p>
    <w:p>
      <w:pPr>
        <w:spacing w:after="120" w:line="240" w:lineRule="auto"/>
        <w:jc w:val="both"/>
        <w:rPr>
          <w:rFonts w:ascii="Times New Roman" w:hAnsi="Times New Roman"/>
          <w:b/>
        </w:rPr>
      </w:pPr>
      <w:r>
        <w:drawing>
          <wp:inline distT="0" distB="0" distL="0" distR="0">
            <wp:extent cx="5760720" cy="5495925"/>
            <wp:effectExtent l="0" t="0" r="0" b="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>
      <w:pPr>
        <w:spacing w:after="120" w:line="240" w:lineRule="auto"/>
        <w:ind w:firstLine="708"/>
        <w:jc w:val="both"/>
        <w:rPr>
          <w:rFonts w:ascii="Times New Roman" w:hAnsi="Times New Roman"/>
        </w:rPr>
      </w:pP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Разпределението по професии показва, че най-много заети има в клас „специалисти“ (18.8%), следва клас „персонал, зает с услуги за населението и търговия“ (18.3%) и „професии, неизискващи специална квалификация“ (11.6%). И тук се наблюдават съществени различия по пол.</w:t>
      </w:r>
    </w:p>
    <w:p>
      <w:pPr>
        <w:spacing w:after="12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Фиг. 13. Разпределение на заетите лица на възраст 15 - 64 навършени години по професии и пол през периода 31 август – 6 септември 2021 година</w:t>
      </w:r>
    </w:p>
    <w:p>
      <w:pPr>
        <w:spacing w:after="120" w:line="240" w:lineRule="auto"/>
        <w:jc w:val="center"/>
        <w:rPr>
          <w:rFonts w:ascii="Times New Roman" w:hAnsi="Times New Roman"/>
          <w:b/>
        </w:rPr>
      </w:pPr>
      <w:r>
        <w:drawing>
          <wp:inline distT="0" distB="0" distL="0" distR="0">
            <wp:extent cx="6086475" cy="3162300"/>
            <wp:effectExtent l="0" t="0" r="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>
      <w:pPr>
        <w:spacing w:after="12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Безработни лица на възраст 15 – 64 навършени години</w:t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>През наблюдавания период безработните лица на възраст 15 - 64 навършени години са 287 хиляди. Жените са 131 хил., или</w:t>
      </w:r>
      <w:r>
        <w:rPr>
          <w:rFonts w:ascii="Times New Roman" w:hAnsi="Times New Roman"/>
          <w:sz w:val="24"/>
          <w:lang w:val="en-US"/>
        </w:rPr>
        <w:t xml:space="preserve"> 45.6%</w:t>
      </w:r>
      <w:r>
        <w:rPr>
          <w:rFonts w:ascii="Times New Roman" w:hAnsi="Times New Roman"/>
          <w:sz w:val="24"/>
        </w:rPr>
        <w:t>, а мъжете 156 хил., или 54.4%.</w:t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Коефициентът на безработица, изчислен като отношение на броя на безработните лица към икономически активното население във възрастовата група 15 - 64 навършени години, е </w:t>
      </w:r>
      <w:r>
        <w:rPr>
          <w:rFonts w:ascii="Times New Roman" w:hAnsi="Times New Roman"/>
          <w:sz w:val="24"/>
          <w:lang w:val="en-US"/>
        </w:rPr>
        <w:t>10.1</w:t>
      </w:r>
      <w:r>
        <w:rPr>
          <w:rFonts w:ascii="Times New Roman" w:hAnsi="Times New Roman"/>
          <w:sz w:val="24"/>
        </w:rPr>
        <w:t xml:space="preserve">% общо за страната, съответно </w:t>
      </w:r>
      <w:r>
        <w:rPr>
          <w:rFonts w:ascii="Times New Roman" w:hAnsi="Times New Roman"/>
          <w:sz w:val="24"/>
          <w:lang w:val="en-US"/>
        </w:rPr>
        <w:t>10.7</w:t>
      </w:r>
      <w:r>
        <w:rPr>
          <w:rFonts w:ascii="Times New Roman" w:hAnsi="Times New Roman"/>
          <w:sz w:val="24"/>
        </w:rPr>
        <w:t xml:space="preserve">% за мъжете и </w:t>
      </w:r>
      <w:r>
        <w:rPr>
          <w:rFonts w:ascii="Times New Roman" w:hAnsi="Times New Roman"/>
          <w:sz w:val="24"/>
          <w:lang w:val="en-US"/>
        </w:rPr>
        <w:t>9.5</w:t>
      </w:r>
      <w:r>
        <w:rPr>
          <w:rFonts w:ascii="Times New Roman" w:hAnsi="Times New Roman"/>
          <w:sz w:val="24"/>
        </w:rPr>
        <w:t>% за жените.</w:t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Повъзрастовите коефициенти на безработица показват, че най-висок е делът на безработните във възрастовата група 15 - 19 години (36.1%). С нарастване на възрастта стойността на показателя намалява. Коефициентът на безработица е по-нисък в градовете отколкото в селата във всички възрастови групи.</w:t>
      </w:r>
    </w:p>
    <w:p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Фиг. 14. Повъзрастови коефициенти на безработица в градовете и селата </w:t>
      </w:r>
    </w:p>
    <w:p>
      <w:pPr>
        <w:spacing w:after="12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през периода 31 август – 6 септември 2021 година</w:t>
      </w:r>
    </w:p>
    <w:p>
      <w:pPr>
        <w:spacing w:after="120" w:line="240" w:lineRule="auto"/>
        <w:jc w:val="center"/>
        <w:rPr>
          <w:rFonts w:ascii="Times New Roman" w:hAnsi="Times New Roman"/>
        </w:rPr>
      </w:pPr>
      <w:r>
        <w:drawing>
          <wp:inline distT="0" distB="0" distL="0" distR="0">
            <wp:extent cx="5661660" cy="2095500"/>
            <wp:effectExtent l="0" t="0" r="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Най-висок е делът на безработните със средно образование - 50.6% от всички безработни, следван от тези с основно (24.1%), висше (15.9%) и начално и по-ниско (9.4%). Най-висок е делът на безработните жени сред висшистите - 57.0%, а най нисък при лицата със средно образование (40.2%). </w:t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Коефициентът на безработица за лицата на възраст 15-64 със завършено висше образование е 4.4%, като при мъжете е 4.6%, а при жените 4.2%. За лица с начално и по-ниско образование коефициентът на безработица е 43.6%, съответно 39.4% за мъжете и 47.7% за жените.</w:t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Фиг. 15. Коефициенти на безработица по степен на завършено образование и пол</w:t>
      </w:r>
    </w:p>
    <w:p>
      <w:pPr>
        <w:spacing w:after="12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през периода 31 август – 6 септември 2021 година</w:t>
      </w:r>
    </w:p>
    <w:p>
      <w:pPr>
        <w:spacing w:after="120" w:line="240" w:lineRule="auto"/>
        <w:jc w:val="both"/>
        <w:rPr>
          <w:rFonts w:ascii="Times New Roman" w:hAnsi="Times New Roman"/>
        </w:rPr>
      </w:pPr>
      <w:r>
        <w:drawing>
          <wp:inline distT="0" distB="0" distL="0" distR="0">
            <wp:extent cx="5600700" cy="2143125"/>
            <wp:effectExtent l="0" t="0" r="0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  <w:lang w:val="en-US"/>
        </w:rPr>
      </w:pPr>
      <w:bookmarkStart w:id="0" w:name="_GoBack"/>
      <w:r>
        <w:rPr>
          <w:rFonts w:ascii="Times New Roman" w:hAnsi="Times New Roman"/>
          <w:sz w:val="24"/>
        </w:rPr>
        <w:t>Коефициентът на безработица е най-нисък в областите София (столица) - 4.6%, Габрово - 7.4%, и Пловдив - 8.1%, а най-висок е във Видин - 20.1%, Силистра - 18.1%, и Търговище - 17.7%. В седем области този показател е по-нисък от средния за страната.</w:t>
      </w:r>
    </w:p>
    <w:bookmarkEnd w:id="0"/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  <w:lang w:val="en-US"/>
        </w:rPr>
      </w:pPr>
    </w:p>
    <w:p>
      <w:pPr>
        <w:spacing w:after="12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Фиг. 16. Коефициент на безработица по области през периода 31 август – 6 септември 2021 година</w:t>
      </w:r>
    </w:p>
    <w:p>
      <w:pPr>
        <w:spacing w:after="12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drawing>
          <wp:inline distT="0" distB="0" distL="0" distR="0">
            <wp:extent cx="4848225" cy="34296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460" cy="3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Икономически неактивни лица на възраст 15 - 64 навършени години</w:t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Икономически неактивното население на възраст 15 - 64 години е 1 234 хил. души, или 30.3% от населението в тази възрастова група. От тях 307 хил. са учащи, 313 хил. - пенсионери, 18 хил. - лица, получаващи доходи от собственост, и 595 хил. са „други“. </w:t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Най-висок е делът на икономически неактивното население със средно образование – 53.8%. Следват лицата с основно (24.6%) и с висше образование (14.4%). </w:t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Фиг. 17. Разпределение на икономически неактивните лица по образование и пол </w:t>
      </w:r>
    </w:p>
    <w:p>
      <w:pPr>
        <w:spacing w:after="12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през периода 31 август – 6 септември 2021 година</w:t>
      </w:r>
    </w:p>
    <w:p>
      <w:pPr>
        <w:spacing w:after="120" w:line="240" w:lineRule="auto"/>
        <w:jc w:val="center"/>
        <w:rPr>
          <w:rFonts w:ascii="Times New Roman" w:hAnsi="Times New Roman"/>
        </w:rPr>
      </w:pPr>
      <w:r>
        <w:drawing>
          <wp:inline distT="0" distB="0" distL="0" distR="0">
            <wp:extent cx="5681345" cy="2266950"/>
            <wp:effectExtent l="0" t="0" r="0" b="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регионален аспект Кърджали е областта с най-висок относителен дял на икономически неактивното население - 45.9%, следват Силистра - 39.4%, и Сливен - 38.9%. Най-нисък е делът на икономически неактивното население в София </w:t>
      </w:r>
      <w:r>
        <w:rPr>
          <w:rFonts w:ascii="Times New Roman" w:hAnsi="Times New Roman"/>
          <w:sz w:val="24"/>
          <w:lang w:val="en-US"/>
        </w:rPr>
        <w:t>(</w:t>
      </w:r>
      <w:r>
        <w:rPr>
          <w:rFonts w:ascii="Times New Roman" w:hAnsi="Times New Roman"/>
          <w:sz w:val="24"/>
        </w:rPr>
        <w:t>столица</w:t>
      </w:r>
      <w:r>
        <w:rPr>
          <w:rFonts w:ascii="Times New Roman" w:hAnsi="Times New Roman"/>
          <w:sz w:val="24"/>
          <w:lang w:val="en-US"/>
        </w:rPr>
        <w:t>)</w:t>
      </w:r>
      <w:r>
        <w:rPr>
          <w:rFonts w:ascii="Times New Roman" w:hAnsi="Times New Roman"/>
          <w:sz w:val="24"/>
        </w:rPr>
        <w:t xml:space="preserve"> - 21.4%.</w:t>
      </w:r>
    </w:p>
    <w:p>
      <w:pPr>
        <w:spacing w:after="12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Незаети и неучащи на възраст 15 - 29 навършени години</w:t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През наблюдавания период незаетите и неучастващи в образование и обучение от населението на възраст 15 - 29 навършени години са 185 хил. души, или 21.7% от населението на същата възраст. От общият брой незаети и неучащи 44.1% са на възраст 25 – 29, 37.5% на възраст 20 -24 и 18.4% на възраст 15 – 19 навършени години.</w:t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Преобладават лицата със завършено средно (48.2%) и основно образование (25.4%). Завършилите висше образование сред незаетите и неучастващи в образование и обучение са 14.3%.</w:t>
      </w:r>
    </w:p>
    <w:p>
      <w:pPr>
        <w:spacing w:after="12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Фиг. 18. Разпределение на незаетите и неучастващи в образование и обучение лица по образование и пол през периода 31 август – 6 септември 2021 година</w:t>
      </w:r>
    </w:p>
    <w:p>
      <w:pPr>
        <w:spacing w:after="120" w:line="240" w:lineRule="auto"/>
        <w:jc w:val="center"/>
        <w:rPr>
          <w:rFonts w:ascii="Times New Roman" w:hAnsi="Times New Roman"/>
        </w:rPr>
      </w:pPr>
      <w:r>
        <w:drawing>
          <wp:inline distT="0" distB="0" distL="0" distR="0">
            <wp:extent cx="5334635" cy="1990725"/>
            <wp:effectExtent l="0" t="0" r="0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регионален аспект делът на лицата на възраст 15 - 29 навършени години, които не са заети и не участват в образование и обучение, е най-висок в областите Сливен (37.6%) и Силистра (33.3%), а най-нисък - в област София (столица) - 10.6%. Общо в 19 области този показател е над средния за страната. </w:t>
      </w:r>
    </w:p>
    <w:p>
      <w:pPr>
        <w:spacing w:after="120" w:line="240" w:lineRule="auto"/>
        <w:ind w:firstLine="708"/>
        <w:jc w:val="both"/>
        <w:rPr>
          <w:rFonts w:ascii="Times New Roman" w:hAnsi="Times New Roman"/>
          <w:sz w:val="24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Фиг. 19. Незаети и неучащи на възраст 15 - 29 навършени години по области </w:t>
      </w:r>
    </w:p>
    <w:p>
      <w:pPr>
        <w:spacing w:after="12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 периода 31 август – 6 септември 2021 година</w:t>
      </w:r>
    </w:p>
    <w:p>
      <w:pPr>
        <w:spacing w:after="120" w:line="240" w:lineRule="auto"/>
        <w:jc w:val="both"/>
        <w:rPr>
          <w:rFonts w:ascii="Times New Roman" w:hAnsi="Times New Roman"/>
        </w:rPr>
      </w:pPr>
      <w:r>
        <w:drawing>
          <wp:inline distT="0" distB="0" distL="0" distR="0">
            <wp:extent cx="5760720" cy="2733675"/>
            <wp:effectExtent l="0" t="0" r="11430" b="9525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>
      <w:pPr>
        <w:spacing w:after="120" w:line="240" w:lineRule="auto"/>
        <w:ind w:firstLine="709"/>
        <w:jc w:val="both"/>
        <w:rPr>
          <w:rFonts w:ascii="Times New Roman" w:hAnsi="Times New Roman"/>
        </w:rPr>
      </w:pPr>
    </w:p>
    <w:p>
      <w:pPr>
        <w:spacing w:after="120" w:line="240" w:lineRule="auto"/>
        <w:ind w:firstLine="709"/>
        <w:jc w:val="both"/>
        <w:rPr>
          <w:rFonts w:ascii="Times New Roman" w:hAnsi="Times New Roman"/>
        </w:rPr>
      </w:pPr>
    </w:p>
    <w:p>
      <w:pPr>
        <w:spacing w:after="12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Графикът за публикуване на данните от Преброяване 2021 можете да намерите </w:t>
      </w:r>
      <w:r>
        <w:rPr>
          <w:rFonts w:ascii="Times New Roman" w:hAnsi="Times New Roman"/>
          <w:color w:val="0070C0"/>
          <w:sz w:val="24"/>
          <w:u w:val="single"/>
        </w:rPr>
        <w:t>тук</w:t>
      </w:r>
      <w:r>
        <w:rPr>
          <w:rFonts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/>
          <w:color w:val="0070C0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Основни данни от преброяването ще бъдат публикувани в Информационна система ИНФОСТАТ, както и ще бъдат предоставяни по заявки на потребители в съответствие със </w:t>
      </w:r>
      <w:r>
        <w:rPr>
          <w:rFonts w:ascii="Times New Roman" w:hAnsi="Times New Roman"/>
          <w:color w:val="0070C0"/>
          <w:sz w:val="24"/>
          <w:u w:val="single"/>
        </w:rPr>
        <w:t>Списъка на стандартните статистически показатели</w:t>
      </w:r>
      <w:r>
        <w:rPr>
          <w:rFonts w:ascii="Times New Roman" w:hAnsi="Times New Roman"/>
          <w:color w:val="BDD7EE" w:themeColor="accent1" w:themeTint="66"/>
          <w:sz w:val="24"/>
          <w14:textFill>
            <w14:solidFill>
              <w14:schemeClr w14:val="accent1">
                <w14:lumMod w14:val="40000"/>
                <w14:lumOff w14:val="60000"/>
              </w14:schemeClr>
            </w14:solidFill>
          </w14:textFill>
        </w:rPr>
        <w:t xml:space="preserve"> </w:t>
      </w:r>
      <w:r>
        <w:rPr>
          <w:rFonts w:ascii="Times New Roman" w:hAnsi="Times New Roman"/>
          <w:sz w:val="24"/>
        </w:rPr>
        <w:t xml:space="preserve">и </w:t>
      </w:r>
      <w:r>
        <w:rPr>
          <w:rFonts w:ascii="Times New Roman" w:hAnsi="Times New Roman"/>
          <w:color w:val="0070C0"/>
          <w:sz w:val="24"/>
          <w:u w:val="single"/>
        </w:rPr>
        <w:t>Правилника за разпространение на статистически продукти и услуги</w:t>
      </w:r>
      <w:r>
        <w:rPr>
          <w:rFonts w:ascii="Times New Roman" w:hAnsi="Times New Roman"/>
          <w:sz w:val="24"/>
        </w:rPr>
        <w:t>.</w:t>
      </w:r>
    </w:p>
    <w:p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Приложение</w:t>
      </w:r>
    </w:p>
    <w:p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>Таблица 1</w:t>
      </w:r>
    </w:p>
    <w:p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Образователна структура на населението на 7 и повече навършени години</w:t>
      </w:r>
    </w:p>
    <w:p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по години на преброяванията и пол</w:t>
      </w:r>
    </w:p>
    <w:p>
      <w:pPr>
        <w:spacing w:after="0"/>
        <w:ind w:right="-284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 xml:space="preserve">          </w:t>
      </w:r>
      <w:r>
        <w:rPr>
          <w:rFonts w:ascii="Times New Roman" w:hAnsi="Times New Roman"/>
          <w:sz w:val="20"/>
          <w:szCs w:val="20"/>
        </w:rPr>
        <w:t>(Брой)</w:t>
      </w:r>
    </w:p>
    <w:tbl>
      <w:tblPr>
        <w:tblStyle w:val="3"/>
        <w:tblW w:w="8969" w:type="dxa"/>
        <w:tblInd w:w="279" w:type="dxa"/>
        <w:tblLayout w:type="autofit"/>
        <w:tblCellMar>
          <w:top w:w="0" w:type="dxa"/>
          <w:left w:w="70" w:type="dxa"/>
          <w:bottom w:w="0" w:type="dxa"/>
          <w:right w:w="70" w:type="dxa"/>
        </w:tblCellMar>
      </w:tblPr>
      <w:tblGrid>
        <w:gridCol w:w="1150"/>
        <w:gridCol w:w="939"/>
        <w:gridCol w:w="920"/>
        <w:gridCol w:w="999"/>
        <w:gridCol w:w="932"/>
        <w:gridCol w:w="919"/>
        <w:gridCol w:w="1329"/>
        <w:gridCol w:w="939"/>
        <w:gridCol w:w="882"/>
      </w:tblGrid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t>Години на преброява-нията</w:t>
            </w:r>
            <w:r>
              <w:rPr>
                <w:rStyle w:val="9"/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footnoteReference w:id="0"/>
            </w:r>
          </w:p>
        </w:tc>
        <w:tc>
          <w:tcPr>
            <w:tcW w:w="93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37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t>Степен на завършено образование</w:t>
            </w:r>
          </w:p>
        </w:tc>
        <w:tc>
          <w:tcPr>
            <w:tcW w:w="132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DEEAF6" w:themeFill="accent1" w:themeFillTint="33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t>Без завършена степен на образование</w:t>
            </w:r>
          </w:p>
        </w:tc>
        <w:tc>
          <w:tcPr>
            <w:tcW w:w="93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DEEAF6" w:themeFill="accent1" w:themeFillTint="33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t>Дете</w:t>
            </w:r>
          </w:p>
        </w:tc>
        <w:tc>
          <w:tcPr>
            <w:tcW w:w="8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DEEAF6" w:themeFill="accent1" w:themeFillTint="33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t>Непока-зано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69" w:hRule="atLeast"/>
        </w:trPr>
        <w:tc>
          <w:tcPr>
            <w:tcW w:w="11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t>висше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t>средно</w:t>
            </w:r>
            <w:r>
              <w:rPr>
                <w:rStyle w:val="9"/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footnoteReference w:id="1"/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t>основно</w:t>
            </w:r>
            <w:r>
              <w:rPr>
                <w:rStyle w:val="9"/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footnoteReference w:id="2"/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t>начално</w:t>
            </w:r>
          </w:p>
        </w:tc>
        <w:tc>
          <w:tcPr>
            <w:tcW w:w="132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896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Общо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1934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4941848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33031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133111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443113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1733350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2593059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6184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1946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6008354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55238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276694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1125410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2202557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2347748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707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1956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6495229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112506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575397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1616225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2367812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1823289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1965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7211375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173319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888328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2309436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2286716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1553576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1975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7658498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311851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1594991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2617963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2043989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1089704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8102363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503330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2447933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2605539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1689313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856248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1992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7797602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619294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2888144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2370214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1231727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680347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7876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7467839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716863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3160492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2049443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933329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565937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20513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21262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6891177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1348650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2990424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1591348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536686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409766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14303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6110165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1560028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2878386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1001825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353450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18"/>
                <w:szCs w:val="18"/>
              </w:rPr>
              <w:t>313297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3179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896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Мъже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1934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2474774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27578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76240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287345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1011328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1068828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3455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1946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2996051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43655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159854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679577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1165278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947362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325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1956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3228369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84014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297341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937642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1200904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708468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1965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3593032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121464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432200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1308727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1118177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612464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1975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3808490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196184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759193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1453025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966163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433925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3998374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285274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1197407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1391886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761475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362332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1992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3817044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329277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1416360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1225306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543982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298054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4065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3625965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334311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1574103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1036099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401684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259678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10377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9713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3343236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556900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1568705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793143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227656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189351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7481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2925778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627901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1511578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475014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159460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18"/>
                <w:szCs w:val="18"/>
              </w:rPr>
              <w:t>150109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1716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51" w:hRule="atLeast"/>
        </w:trPr>
        <w:tc>
          <w:tcPr>
            <w:tcW w:w="896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Жени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1934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2467074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5453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56871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155768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722022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1524231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2729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1946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3012303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11583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116840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445833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1037279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1400386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382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1956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3266860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28492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278056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678583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1166908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1114821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1965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3618343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51855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456128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1000709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1168539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941112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1975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3850008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115667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835798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1164938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1077826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655779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4103989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218056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1250526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1213653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927838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493916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1992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3980558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290017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1471784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1144908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687745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382293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3811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3841874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382552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1586389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1013344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531645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306259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10136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11549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3547941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791750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1421719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798205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309030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220415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6822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1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3184387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932127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1366808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526811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193990</w:t>
            </w:r>
          </w:p>
        </w:tc>
        <w:tc>
          <w:tcPr>
            <w:tcW w:w="1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18"/>
                <w:szCs w:val="18"/>
              </w:rPr>
              <w:t>163188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1463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</w:tbl>
    <w:p>
      <w:pPr>
        <w:ind w:left="7788" w:firstLine="292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Таблица 2</w:t>
      </w:r>
    </w:p>
    <w:p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Образователна структура на населението на 7 и повече навършени години по пол и местоживеене към 7 септември 2021 година</w:t>
      </w:r>
    </w:p>
    <w:p>
      <w:pPr>
        <w:spacing w:after="0"/>
        <w:ind w:right="-284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sz w:val="20"/>
          <w:szCs w:val="20"/>
        </w:rPr>
        <w:t xml:space="preserve">             </w:t>
      </w:r>
      <w:r>
        <w:rPr>
          <w:rFonts w:ascii="Times New Roman" w:hAnsi="Times New Roman"/>
          <w:sz w:val="20"/>
          <w:szCs w:val="20"/>
        </w:rPr>
        <w:t>(Брой)</w:t>
      </w:r>
    </w:p>
    <w:tbl>
      <w:tblPr>
        <w:tblStyle w:val="3"/>
        <w:tblW w:w="9072" w:type="dxa"/>
        <w:tblInd w:w="279" w:type="dxa"/>
        <w:tblLayout w:type="autofit"/>
        <w:tblCellMar>
          <w:top w:w="0" w:type="dxa"/>
          <w:left w:w="70" w:type="dxa"/>
          <w:bottom w:w="0" w:type="dxa"/>
          <w:right w:w="70" w:type="dxa"/>
        </w:tblCellMar>
      </w:tblPr>
      <w:tblGrid>
        <w:gridCol w:w="3544"/>
        <w:gridCol w:w="1200"/>
        <w:gridCol w:w="1139"/>
        <w:gridCol w:w="992"/>
        <w:gridCol w:w="1205"/>
        <w:gridCol w:w="992"/>
      </w:tblGrid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15" w:hRule="atLeast"/>
        </w:trPr>
        <w:tc>
          <w:tcPr>
            <w:tcW w:w="35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Образователна степен</w:t>
            </w:r>
          </w:p>
        </w:tc>
        <w:tc>
          <w:tcPr>
            <w:tcW w:w="12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Общо</w:t>
            </w:r>
          </w:p>
        </w:tc>
        <w:tc>
          <w:tcPr>
            <w:tcW w:w="21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По пол</w:t>
            </w:r>
          </w:p>
        </w:tc>
        <w:tc>
          <w:tcPr>
            <w:tcW w:w="219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По местоживеене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35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мъже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жени</w:t>
            </w:r>
          </w:p>
        </w:tc>
        <w:tc>
          <w:tcPr>
            <w:tcW w:w="12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в градовете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 xml:space="preserve">в селата 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35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Образователна и научна степен „доктор“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39341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19789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19552</w:t>
            </w:r>
          </w:p>
        </w:tc>
        <w:tc>
          <w:tcPr>
            <w:tcW w:w="12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37126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2215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35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Висше - степен „магистър“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899220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364651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534569</w:t>
            </w:r>
          </w:p>
        </w:tc>
        <w:tc>
          <w:tcPr>
            <w:tcW w:w="12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822871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76349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35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Висше - степен „бакалавър“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458515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194323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264192</w:t>
            </w:r>
          </w:p>
        </w:tc>
        <w:tc>
          <w:tcPr>
            <w:tcW w:w="12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399280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59235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480" w:hRule="atLeast"/>
        </w:trPr>
        <w:tc>
          <w:tcPr>
            <w:tcW w:w="35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Висше - степен „професионален бакалавър“ (специалист, полувисше)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162952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49138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113814</w:t>
            </w:r>
          </w:p>
        </w:tc>
        <w:tc>
          <w:tcPr>
            <w:tcW w:w="12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134757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28195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480" w:hRule="atLeast"/>
        </w:trPr>
        <w:tc>
          <w:tcPr>
            <w:tcW w:w="35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Професионално образование с прием след средно образование (IV степен ПК)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78882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37925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40957</w:t>
            </w:r>
          </w:p>
        </w:tc>
        <w:tc>
          <w:tcPr>
            <w:tcW w:w="12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67600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11282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480" w:hRule="atLeast"/>
        </w:trPr>
        <w:tc>
          <w:tcPr>
            <w:tcW w:w="35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Средно специално (техникум, професионална гимназия III степен ПК)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1231450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674972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556478</w:t>
            </w:r>
          </w:p>
        </w:tc>
        <w:tc>
          <w:tcPr>
            <w:tcW w:w="12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947179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284271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480" w:hRule="atLeast"/>
        </w:trPr>
        <w:tc>
          <w:tcPr>
            <w:tcW w:w="35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Средно професионално-техническо (СПТУ,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професионална гимназия II степен на ПК)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558868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349930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208938</w:t>
            </w:r>
          </w:p>
        </w:tc>
        <w:tc>
          <w:tcPr>
            <w:tcW w:w="12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366815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192053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35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Средно общо (гимназиално) образование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905433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394325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511108</w:t>
            </w:r>
          </w:p>
        </w:tc>
        <w:tc>
          <w:tcPr>
            <w:tcW w:w="12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665813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239620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35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Първи гимназиален етап на средно образование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103753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54426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49327</w:t>
            </w:r>
          </w:p>
        </w:tc>
        <w:tc>
          <w:tcPr>
            <w:tcW w:w="12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77558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26195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720" w:hRule="atLeast"/>
        </w:trPr>
        <w:tc>
          <w:tcPr>
            <w:tcW w:w="35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Професионално-техническо (ПТУ) след завършване на основно образование (I степен на ПК)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29524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18758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10766</w:t>
            </w:r>
          </w:p>
        </w:tc>
        <w:tc>
          <w:tcPr>
            <w:tcW w:w="12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17648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11876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480" w:hRule="atLeast"/>
        </w:trPr>
        <w:tc>
          <w:tcPr>
            <w:tcW w:w="35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Професионално-техническо (ПТУ) с прием след VI/VII клас (I степен на ПК)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11686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6893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4793</w:t>
            </w:r>
          </w:p>
        </w:tc>
        <w:tc>
          <w:tcPr>
            <w:tcW w:w="12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7007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4679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35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Основно образование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960615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449363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511252</w:t>
            </w:r>
          </w:p>
        </w:tc>
        <w:tc>
          <w:tcPr>
            <w:tcW w:w="12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501289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459326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480" w:hRule="atLeast"/>
        </w:trPr>
        <w:tc>
          <w:tcPr>
            <w:tcW w:w="35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Начално (начален етап на основното образование)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353450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159460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193990</w:t>
            </w:r>
          </w:p>
        </w:tc>
        <w:tc>
          <w:tcPr>
            <w:tcW w:w="12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217660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135790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480" w:hRule="atLeast"/>
        </w:trPr>
        <w:tc>
          <w:tcPr>
            <w:tcW w:w="35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Незавършен начален етап на основното образование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271653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133823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137830</w:t>
            </w:r>
          </w:p>
        </w:tc>
        <w:tc>
          <w:tcPr>
            <w:tcW w:w="12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189989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81664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35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Никога непосещавал/а училище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41644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16286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25358</w:t>
            </w:r>
          </w:p>
        </w:tc>
        <w:tc>
          <w:tcPr>
            <w:tcW w:w="12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20294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21350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480" w:hRule="atLeast"/>
        </w:trPr>
        <w:tc>
          <w:tcPr>
            <w:tcW w:w="35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Дете до 7 години вкл., което още не посещава училище</w:t>
            </w:r>
          </w:p>
        </w:tc>
        <w:tc>
          <w:tcPr>
            <w:tcW w:w="12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3179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1716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1463</w:t>
            </w:r>
          </w:p>
        </w:tc>
        <w:tc>
          <w:tcPr>
            <w:tcW w:w="12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2279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900</w:t>
            </w:r>
          </w:p>
        </w:tc>
      </w:tr>
    </w:tbl>
    <w:p>
      <w:pPr>
        <w:jc w:val="center"/>
        <w:rPr>
          <w:rFonts w:ascii="Times New Roman" w:hAnsi="Times New Roman"/>
          <w:b/>
        </w:rPr>
      </w:pP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>
      <w:pPr>
        <w:ind w:left="7080" w:firstLine="70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Таблица 3</w:t>
      </w:r>
    </w:p>
    <w:p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Грамотност на населението на 9 и повече навършени години</w:t>
      </w:r>
    </w:p>
    <w:p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по области и пол към 7 септември 2021 година </w:t>
      </w:r>
    </w:p>
    <w:p>
      <w:pPr>
        <w:spacing w:after="0"/>
        <w:ind w:right="-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sz w:val="20"/>
          <w:szCs w:val="20"/>
        </w:rPr>
        <w:t xml:space="preserve">      </w:t>
      </w:r>
      <w:r>
        <w:rPr>
          <w:rFonts w:ascii="Times New Roman" w:hAnsi="Times New Roman"/>
          <w:sz w:val="20"/>
          <w:szCs w:val="20"/>
        </w:rPr>
        <w:t>(Брой)</w:t>
      </w:r>
    </w:p>
    <w:tbl>
      <w:tblPr>
        <w:tblStyle w:val="3"/>
        <w:tblW w:w="9072" w:type="dxa"/>
        <w:tblInd w:w="279" w:type="dxa"/>
        <w:tblLayout w:type="autofit"/>
        <w:tblCellMar>
          <w:top w:w="0" w:type="dxa"/>
          <w:left w:w="70" w:type="dxa"/>
          <w:bottom w:w="0" w:type="dxa"/>
          <w:right w:w="70" w:type="dxa"/>
        </w:tblCellMar>
      </w:tblPr>
      <w:tblGrid>
        <w:gridCol w:w="1583"/>
        <w:gridCol w:w="1198"/>
        <w:gridCol w:w="1400"/>
        <w:gridCol w:w="8"/>
        <w:gridCol w:w="1285"/>
        <w:gridCol w:w="1235"/>
        <w:gridCol w:w="1152"/>
        <w:gridCol w:w="1211"/>
      </w:tblGrid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70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Области</w:t>
            </w:r>
          </w:p>
        </w:tc>
        <w:tc>
          <w:tcPr>
            <w:tcW w:w="260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Общо</w:t>
            </w:r>
          </w:p>
        </w:tc>
        <w:tc>
          <w:tcPr>
            <w:tcW w:w="25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Мъже</w:t>
            </w:r>
          </w:p>
        </w:tc>
        <w:tc>
          <w:tcPr>
            <w:tcW w:w="224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Жени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грамотни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неграмотни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грамотни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неграмотни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грамотни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EEAF6" w:themeFill="accent1" w:themeFillTint="33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неграмотни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sz w:val="18"/>
                <w:szCs w:val="18"/>
              </w:rPr>
              <w:t>Общо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5913363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75678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2832816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30827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3080547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</w:rPr>
              <w:t>44851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1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Благоевград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265375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2397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128612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1017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136763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1380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Бургас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341377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6071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163667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2728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177710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3343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Варна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391264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3865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187443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1579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203821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2286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31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Велико Търново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190982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1373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91269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538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99713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835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Видин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69936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769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33541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402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36395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367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Враца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139273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1384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67400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638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71873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746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Габрово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91499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478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43139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220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48360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258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Добрич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135925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3250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65275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1138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70650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2112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13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Кърджали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127725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3435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63287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950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64438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2485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61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Кюстендил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103543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512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49623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256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53920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256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Ловеч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105922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1718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51185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782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54737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936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Монтана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110160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1246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53405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542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56755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704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65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Пазарджик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208380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2877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100836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1202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107544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1675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Перник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104997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578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50038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269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54959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309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Плевен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206945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2378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99526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1019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107419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1359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Пловдив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571001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8817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271124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3443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299877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5374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Разград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93870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1700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45263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550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48607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1150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Русе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178562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1323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84888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542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93674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781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Силистра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88389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2148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42815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791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45574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1357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Сливен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146078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7714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70572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3026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75506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4688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Смолян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89805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751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43097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285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46708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466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София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211340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1529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102853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701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108487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828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83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София (столица)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1158504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4334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546237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2291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612267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2043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20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Стара Загора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265540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6046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127257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2575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138283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3471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25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Търговище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89838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1037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43716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318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46122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719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Хасково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191163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3620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92321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1264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98842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2356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Шумен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138313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1761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66973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702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71340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1059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Ямбол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97657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2567</w:t>
            </w: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47454</w:t>
            </w:r>
          </w:p>
        </w:tc>
        <w:tc>
          <w:tcPr>
            <w:tcW w:w="12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1059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50203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1508</w:t>
            </w:r>
          </w:p>
        </w:tc>
      </w:tr>
    </w:tbl>
    <w:p>
      <w:pPr>
        <w:jc w:val="center"/>
        <w:rPr>
          <w:rFonts w:ascii="Times New Roman" w:hAnsi="Times New Roman"/>
          <w:b/>
        </w:rPr>
      </w:pPr>
    </w:p>
    <w:p>
      <w:pPr>
        <w:jc w:val="center"/>
        <w:rPr>
          <w:rFonts w:ascii="Times New Roman" w:hAnsi="Times New Roman"/>
          <w:b/>
        </w:rPr>
      </w:pPr>
    </w:p>
    <w:p>
      <w:pPr>
        <w:jc w:val="center"/>
        <w:rPr>
          <w:rFonts w:ascii="Times New Roman" w:hAnsi="Times New Roman"/>
          <w:b/>
        </w:rPr>
      </w:pP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>
      <w:pPr>
        <w:ind w:left="7788" w:firstLine="43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Таблица 4</w:t>
      </w:r>
    </w:p>
    <w:p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Икономически активно население по местоживеене и години на преброяванията</w:t>
      </w:r>
    </w:p>
    <w:tbl>
      <w:tblPr>
        <w:tblStyle w:val="3"/>
        <w:tblW w:w="9356" w:type="dxa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988"/>
        <w:gridCol w:w="854"/>
        <w:gridCol w:w="1134"/>
        <w:gridCol w:w="1134"/>
        <w:gridCol w:w="851"/>
        <w:gridCol w:w="850"/>
        <w:gridCol w:w="1134"/>
        <w:gridCol w:w="1499"/>
        <w:gridCol w:w="912"/>
      </w:tblGrid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DDEBF7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Години на преброя-ванията</w:t>
            </w:r>
          </w:p>
        </w:tc>
        <w:tc>
          <w:tcPr>
            <w:tcW w:w="397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18"/>
                <w:szCs w:val="18"/>
              </w:rPr>
              <w:t>Брой</w:t>
            </w:r>
          </w:p>
        </w:tc>
        <w:tc>
          <w:tcPr>
            <w:tcW w:w="43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18"/>
                <w:szCs w:val="18"/>
              </w:rPr>
              <w:t>%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020" w:hRule="atLeast"/>
        </w:trPr>
        <w:tc>
          <w:tcPr>
            <w:tcW w:w="9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общо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икономически активни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 xml:space="preserve">икономически неактивни 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непоказано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общо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икономически активни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 xml:space="preserve">икономически неактивни 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непоказано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1920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4846971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2571500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2275471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53.1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46.9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1926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5478741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3016484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2462257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55.1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44.9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1934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6077939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3346105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2731834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55.1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44.9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1946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7029349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4034730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2994619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57.4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42.6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1956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7613709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4150207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3463502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54.5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45.5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1965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8227866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4267798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3960068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51.9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48.1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1975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8727771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4447784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4279987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51.0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49.0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8948649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4686140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4262509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47.6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1992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8487317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3932468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4546368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8481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46.3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53.6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0.1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7928901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3854993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4049101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24807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48.6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51.1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0.3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7364570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3329683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4034887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45.2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54.8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6519789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2953937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3565852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45.3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54.7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356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В  градовете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1920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966375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378562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587813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39.2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1926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1130131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471231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658900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41.7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1934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1302551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515751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786800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39.6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1946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1735188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702418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1032770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40.5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1956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2556071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1134229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1421842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44.4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55.6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1965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3822824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1859139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1963685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48.6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51.4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1975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5061087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2659935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2401152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52.6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47.4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5799939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3160593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2639346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54.5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45.5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1992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5704552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2784860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2911267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8425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48.8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51.0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0.1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5474534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2805102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2651054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18378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51.2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48.4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0.3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5338261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2649756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2688505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49.6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50.4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4782064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2327863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2454201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48.7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51.3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356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В селата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1920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3880596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2192938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1687658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56.5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43.5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1926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4348610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2545253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1803357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58.5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41.5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1934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4775388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2830354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1945034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40.7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1946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5294161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3332312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1961849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62.9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37.1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1956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5057638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3015978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2041660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40.4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1965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4405042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2408659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1996383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54.7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45.3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1975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3666684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1787849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1878835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48.8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51.2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3148710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1525547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1623163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48.4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51.6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1992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2782765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1147608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1635101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41.2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0.0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2454367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1049891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1398047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6429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42.8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0.3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2026309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679927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1346382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33.6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66.4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1737725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626074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1111651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36.0</w:t>
            </w:r>
          </w:p>
        </w:tc>
        <w:tc>
          <w:tcPr>
            <w:tcW w:w="1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64.0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 </w:t>
            </w:r>
          </w:p>
        </w:tc>
      </w:tr>
    </w:tbl>
    <w:p>
      <w:r>
        <w:br w:type="page"/>
      </w:r>
    </w:p>
    <w:p>
      <w:pPr>
        <w:ind w:left="7788" w:firstLine="29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Таблица 5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Население на възраст 15 - 64 навършени години по икономическа активност и области </w:t>
      </w:r>
    </w:p>
    <w:p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през периода 31 август – 6 септември 2021 година</w:t>
      </w:r>
    </w:p>
    <w:tbl>
      <w:tblPr>
        <w:tblStyle w:val="3"/>
        <w:tblW w:w="6340" w:type="dxa"/>
        <w:jc w:val="center"/>
        <w:tblLayout w:type="autofit"/>
        <w:tblCellMar>
          <w:top w:w="0" w:type="dxa"/>
          <w:left w:w="70" w:type="dxa"/>
          <w:bottom w:w="0" w:type="dxa"/>
          <w:right w:w="70" w:type="dxa"/>
        </w:tblCellMar>
      </w:tblPr>
      <w:tblGrid>
        <w:gridCol w:w="1860"/>
        <w:gridCol w:w="1100"/>
        <w:gridCol w:w="1100"/>
        <w:gridCol w:w="1182"/>
        <w:gridCol w:w="1180"/>
      </w:tblGrid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020" w:hRule="atLeast"/>
          <w:jc w:val="center"/>
        </w:trPr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DEBF7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</w:rPr>
              <w:t>Области</w:t>
            </w:r>
          </w:p>
        </w:tc>
        <w:tc>
          <w:tcPr>
            <w:tcW w:w="11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11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</w:rPr>
              <w:t>Заети</w:t>
            </w:r>
          </w:p>
        </w:tc>
        <w:tc>
          <w:tcPr>
            <w:tcW w:w="11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</w:rPr>
              <w:t>Безработни</w:t>
            </w:r>
          </w:p>
        </w:tc>
        <w:tc>
          <w:tcPr>
            <w:tcW w:w="11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</w:rPr>
              <w:t>Икономически неактивни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Общо за страната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4069400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2548691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286697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  <w:t>1234012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Благоевград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187711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107156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16177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64378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Бургас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239731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146176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16638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76917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Варна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275693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179964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18012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77717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Велико Търново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125194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76976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8901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39317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Видин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42984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21874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5515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15595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Враца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93879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50971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10374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32534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Габрово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57155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38870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3113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15172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Добрич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91376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52203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8083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31090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Кърджали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87436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40892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6427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40117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Кюстендил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67128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38595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4075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24458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Ловеч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68604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37443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5253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25908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Монтана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70894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39805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7599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23490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Пазарджик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143603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81258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15025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47320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Перник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69970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45255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5191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19524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Плевен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133990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77514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11520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44956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Пловдив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399794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257513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22808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119473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Разград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64695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34315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6740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23640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Русе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117929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74948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8084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34897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Силистра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58627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29091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6409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23127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Сливен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102151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52192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10205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39754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Смолян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60116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37195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4254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18667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София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144277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91544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8857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43876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София (столица)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838390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628749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30417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179224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Стара Загора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180951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112936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14073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53942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Търговище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60491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31536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6787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22168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Хасково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128309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71961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11305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45043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Шумен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94026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53395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9786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30845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  <w:jc w:val="center"/>
        </w:trPr>
        <w:tc>
          <w:tcPr>
            <w:tcW w:w="1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Ямбол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64296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38364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5069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  <w:t>20863</w:t>
            </w:r>
          </w:p>
        </w:tc>
      </w:tr>
    </w:tbl>
    <w:p/>
    <w:p/>
    <w:sectPr>
      <w:headerReference r:id="rId5" w:type="default"/>
      <w:footerReference r:id="rId6" w:type="default"/>
      <w:pgSz w:w="11906" w:h="16838"/>
      <w:pgMar w:top="1418" w:right="1133" w:bottom="851" w:left="1417" w:header="426" w:footer="567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UI">
    <w:panose1 w:val="020B0502040204020203"/>
    <w:charset w:val="CC"/>
    <w:family w:val="swiss"/>
    <w:pitch w:val="default"/>
    <w:sig w:usb0="E10022FF" w:usb1="C000E47F" w:usb2="00000029" w:usb3="00000000" w:csb0="200001DF" w:csb1="2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40528415"/>
      <w:docPartObj>
        <w:docPartGallery w:val="AutoText"/>
      </w:docPartObj>
    </w:sdtPr>
    <w:sdtContent>
      <w:p>
        <w:pPr>
          <w:pStyle w:val="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18</w:t>
        </w:r>
        <w:r>
          <w:fldChar w:fldCharType="end"/>
        </w:r>
      </w:p>
    </w:sdtContent>
  </w:sdt>
  <w:p>
    <w:pPr>
      <w:pStyle w:val="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6">
    <w:p>
      <w:pPr>
        <w:spacing w:before="0" w:after="0" w:line="259" w:lineRule="auto"/>
      </w:pPr>
      <w:r>
        <w:separator/>
      </w:r>
    </w:p>
  </w:footnote>
  <w:footnote w:type="continuationSeparator" w:id="7">
    <w:p>
      <w:pPr>
        <w:spacing w:before="0" w:after="0" w:line="259" w:lineRule="auto"/>
      </w:pPr>
      <w:r>
        <w:continuationSeparator/>
      </w:r>
    </w:p>
  </w:footnote>
  <w:footnote w:id="0">
    <w:p>
      <w:pPr>
        <w:pStyle w:val="10"/>
        <w:jc w:val="both"/>
        <w:rPr>
          <w:rFonts w:ascii="Times New Roman" w:hAnsi="Times New Roman" w:cs="Times New Roman"/>
        </w:rPr>
      </w:pPr>
      <w:r>
        <w:rPr>
          <w:rStyle w:val="9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За периода 1934 - 1992 г. включително образователната структура е за населението на 8 и повече навършени години.</w:t>
      </w:r>
    </w:p>
  </w:footnote>
  <w:footnote w:id="1">
    <w:p>
      <w:pPr>
        <w:pStyle w:val="10"/>
        <w:jc w:val="both"/>
        <w:rPr>
          <w:rFonts w:ascii="Times New Roman" w:hAnsi="Times New Roman" w:cs="Times New Roman"/>
        </w:rPr>
      </w:pPr>
      <w:r>
        <w:rPr>
          <w:rStyle w:val="9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Включително и завършилите  професионално образование с прием след средно образование (IV степен ПК) и завършилите първи гимназиален етап на средното образование.</w:t>
      </w:r>
    </w:p>
  </w:footnote>
  <w:footnote w:id="2">
    <w:p>
      <w:pPr>
        <w:pStyle w:val="10"/>
        <w:jc w:val="both"/>
      </w:pPr>
      <w:r>
        <w:rPr>
          <w:rStyle w:val="9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Включително и завършилите професионално-техническите училища (I степен ПК).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hanging="851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4286250</wp:posOffset>
          </wp:positionH>
          <wp:positionV relativeFrom="paragraph">
            <wp:posOffset>-63500</wp:posOffset>
          </wp:positionV>
          <wp:extent cx="1676400" cy="568325"/>
          <wp:effectExtent l="0" t="0" r="0" b="0"/>
          <wp:wrapThrough wrapText="bothSides">
            <wp:wrapPolygon>
              <wp:start x="11536" y="0"/>
              <wp:lineTo x="0" y="6516"/>
              <wp:lineTo x="0" y="14480"/>
              <wp:lineTo x="11536" y="20997"/>
              <wp:lineTo x="15955" y="20997"/>
              <wp:lineTo x="21355" y="14480"/>
              <wp:lineTo x="21355" y="6516"/>
              <wp:lineTo x="15955" y="0"/>
              <wp:lineTo x="11536" y="0"/>
            </wp:wrapPolygon>
          </wp:wrapThrough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Picture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6400" cy="568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drawing>
        <wp:inline distT="0" distB="0" distL="0" distR="0">
          <wp:extent cx="4344035" cy="504825"/>
          <wp:effectExtent l="0" t="0" r="0" b="9525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5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4403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hyphenationZone w:val="425"/>
  <w:characterSpacingControl w:val="doNotCompress"/>
  <w:footnotePr>
    <w:footnote w:id="6"/>
    <w:footnote w:id="7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CC3"/>
    <w:rsid w:val="000839F1"/>
    <w:rsid w:val="00097DBA"/>
    <w:rsid w:val="001133C8"/>
    <w:rsid w:val="00115E6E"/>
    <w:rsid w:val="001245B1"/>
    <w:rsid w:val="001651EA"/>
    <w:rsid w:val="0017750E"/>
    <w:rsid w:val="001917B5"/>
    <w:rsid w:val="001E28B9"/>
    <w:rsid w:val="001E5009"/>
    <w:rsid w:val="001F76AB"/>
    <w:rsid w:val="00241423"/>
    <w:rsid w:val="002738CD"/>
    <w:rsid w:val="00282606"/>
    <w:rsid w:val="00296704"/>
    <w:rsid w:val="002D4EF8"/>
    <w:rsid w:val="002E0093"/>
    <w:rsid w:val="002E5061"/>
    <w:rsid w:val="002F37C0"/>
    <w:rsid w:val="00331BB8"/>
    <w:rsid w:val="00381D01"/>
    <w:rsid w:val="003E10C4"/>
    <w:rsid w:val="003F0BCF"/>
    <w:rsid w:val="00410134"/>
    <w:rsid w:val="00412AF6"/>
    <w:rsid w:val="00423C37"/>
    <w:rsid w:val="00445582"/>
    <w:rsid w:val="00483B16"/>
    <w:rsid w:val="004A1DEE"/>
    <w:rsid w:val="004D6688"/>
    <w:rsid w:val="004F2CB9"/>
    <w:rsid w:val="00512968"/>
    <w:rsid w:val="00542F21"/>
    <w:rsid w:val="00550E27"/>
    <w:rsid w:val="00565B49"/>
    <w:rsid w:val="005A28E1"/>
    <w:rsid w:val="005C78AA"/>
    <w:rsid w:val="005F0AD2"/>
    <w:rsid w:val="00611402"/>
    <w:rsid w:val="006232DB"/>
    <w:rsid w:val="00631839"/>
    <w:rsid w:val="006528DF"/>
    <w:rsid w:val="006634A2"/>
    <w:rsid w:val="006732AF"/>
    <w:rsid w:val="00677646"/>
    <w:rsid w:val="00693B34"/>
    <w:rsid w:val="006C31D4"/>
    <w:rsid w:val="006E7C9C"/>
    <w:rsid w:val="00715B58"/>
    <w:rsid w:val="007407D5"/>
    <w:rsid w:val="00747B16"/>
    <w:rsid w:val="00767588"/>
    <w:rsid w:val="00777993"/>
    <w:rsid w:val="00790D37"/>
    <w:rsid w:val="00792880"/>
    <w:rsid w:val="00796AE6"/>
    <w:rsid w:val="00806A15"/>
    <w:rsid w:val="00813619"/>
    <w:rsid w:val="00816FD6"/>
    <w:rsid w:val="008333D5"/>
    <w:rsid w:val="008613DE"/>
    <w:rsid w:val="0087571E"/>
    <w:rsid w:val="00877F8C"/>
    <w:rsid w:val="00897625"/>
    <w:rsid w:val="008A2D4E"/>
    <w:rsid w:val="008B2D37"/>
    <w:rsid w:val="008D1499"/>
    <w:rsid w:val="008D5F6E"/>
    <w:rsid w:val="008E3407"/>
    <w:rsid w:val="008F2FF8"/>
    <w:rsid w:val="0093477B"/>
    <w:rsid w:val="00973094"/>
    <w:rsid w:val="009C07C3"/>
    <w:rsid w:val="00A2078B"/>
    <w:rsid w:val="00A21EB6"/>
    <w:rsid w:val="00A2291B"/>
    <w:rsid w:val="00A31B13"/>
    <w:rsid w:val="00A62BB1"/>
    <w:rsid w:val="00A63FCE"/>
    <w:rsid w:val="00A65AC7"/>
    <w:rsid w:val="00A67E9B"/>
    <w:rsid w:val="00A71686"/>
    <w:rsid w:val="00A90A10"/>
    <w:rsid w:val="00A924A4"/>
    <w:rsid w:val="00AA3981"/>
    <w:rsid w:val="00AB3599"/>
    <w:rsid w:val="00AF1AAB"/>
    <w:rsid w:val="00B226D7"/>
    <w:rsid w:val="00B50DA9"/>
    <w:rsid w:val="00B85710"/>
    <w:rsid w:val="00B95CC3"/>
    <w:rsid w:val="00C50E58"/>
    <w:rsid w:val="00CE0D87"/>
    <w:rsid w:val="00CE146A"/>
    <w:rsid w:val="00D113EB"/>
    <w:rsid w:val="00D231F6"/>
    <w:rsid w:val="00D25BE2"/>
    <w:rsid w:val="00D31AE6"/>
    <w:rsid w:val="00D36A16"/>
    <w:rsid w:val="00DD2C96"/>
    <w:rsid w:val="00E7272B"/>
    <w:rsid w:val="00E87103"/>
    <w:rsid w:val="00E963D4"/>
    <w:rsid w:val="00EA2EFB"/>
    <w:rsid w:val="00EB6A0B"/>
    <w:rsid w:val="00EF0F73"/>
    <w:rsid w:val="00EF679B"/>
    <w:rsid w:val="00F04257"/>
    <w:rsid w:val="00F42E4B"/>
    <w:rsid w:val="00FE3AC8"/>
    <w:rsid w:val="00FF14E8"/>
    <w:rsid w:val="757D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bg-BG" w:eastAsia="bg-BG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0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5">
    <w:name w:val="annotation reference"/>
    <w:basedOn w:val="2"/>
    <w:semiHidden/>
    <w:unhideWhenUsed/>
    <w:uiPriority w:val="99"/>
    <w:rPr>
      <w:sz w:val="16"/>
      <w:szCs w:val="16"/>
    </w:rPr>
  </w:style>
  <w:style w:type="paragraph" w:styleId="6">
    <w:name w:val="annotation text"/>
    <w:basedOn w:val="1"/>
    <w:link w:val="18"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7">
    <w:name w:val="annotation subject"/>
    <w:basedOn w:val="6"/>
    <w:next w:val="6"/>
    <w:link w:val="19"/>
    <w:semiHidden/>
    <w:unhideWhenUsed/>
    <w:uiPriority w:val="99"/>
    <w:rPr>
      <w:b/>
      <w:bCs/>
    </w:rPr>
  </w:style>
  <w:style w:type="paragraph" w:styleId="8">
    <w:name w:val="footer"/>
    <w:basedOn w:val="1"/>
    <w:link w:val="14"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styleId="9">
    <w:name w:val="footnote reference"/>
    <w:basedOn w:val="2"/>
    <w:semiHidden/>
    <w:unhideWhenUsed/>
    <w:uiPriority w:val="99"/>
    <w:rPr>
      <w:vertAlign w:val="superscript"/>
    </w:rPr>
  </w:style>
  <w:style w:type="paragraph" w:styleId="10">
    <w:name w:val="footnote text"/>
    <w:basedOn w:val="1"/>
    <w:link w:val="16"/>
    <w:semiHidden/>
    <w:unhideWhenUsed/>
    <w:uiPriority w:val="99"/>
    <w:pPr>
      <w:spacing w:after="0" w:line="240" w:lineRule="auto"/>
    </w:pPr>
    <w:rPr>
      <w:sz w:val="20"/>
      <w:szCs w:val="20"/>
    </w:rPr>
  </w:style>
  <w:style w:type="paragraph" w:styleId="11">
    <w:name w:val="header"/>
    <w:basedOn w:val="1"/>
    <w:link w:val="13"/>
    <w:unhideWhenUsed/>
    <w:qFormat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styleId="12">
    <w:name w:val="Hyperlink"/>
    <w:basedOn w:val="2"/>
    <w:semiHidden/>
    <w:unhideWhenUsed/>
    <w:uiPriority w:val="99"/>
    <w:rPr>
      <w:color w:val="0000FF"/>
      <w:u w:val="single"/>
    </w:rPr>
  </w:style>
  <w:style w:type="character" w:customStyle="1" w:styleId="13">
    <w:name w:val="Header Char"/>
    <w:basedOn w:val="2"/>
    <w:link w:val="11"/>
    <w:qFormat/>
    <w:uiPriority w:val="99"/>
    <w:rPr>
      <w:rFonts w:eastAsiaTheme="minorEastAsia"/>
      <w:lang w:eastAsia="bg-BG"/>
    </w:rPr>
  </w:style>
  <w:style w:type="character" w:customStyle="1" w:styleId="14">
    <w:name w:val="Footer Char"/>
    <w:basedOn w:val="2"/>
    <w:link w:val="8"/>
    <w:uiPriority w:val="99"/>
    <w:rPr>
      <w:rFonts w:eastAsiaTheme="minorEastAsia"/>
      <w:lang w:eastAsia="bg-BG"/>
    </w:rPr>
  </w:style>
  <w:style w:type="paragraph" w:styleId="15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bg-BG" w:eastAsia="bg-BG" w:bidi="ar-SA"/>
    </w:rPr>
  </w:style>
  <w:style w:type="character" w:customStyle="1" w:styleId="16">
    <w:name w:val="Footnote Text Char"/>
    <w:basedOn w:val="2"/>
    <w:link w:val="10"/>
    <w:semiHidden/>
    <w:uiPriority w:val="99"/>
    <w:rPr>
      <w:rFonts w:eastAsiaTheme="minorEastAsia"/>
      <w:sz w:val="20"/>
      <w:szCs w:val="20"/>
      <w:lang w:eastAsia="bg-BG"/>
    </w:rPr>
  </w:style>
  <w:style w:type="paragraph" w:customStyle="1" w:styleId="17">
    <w:name w:val="Revision"/>
    <w:hidden/>
    <w:semiHidden/>
    <w:uiPriority w:val="99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bg-BG" w:eastAsia="bg-BG" w:bidi="ar-SA"/>
    </w:rPr>
  </w:style>
  <w:style w:type="character" w:customStyle="1" w:styleId="18">
    <w:name w:val="Comment Text Char"/>
    <w:basedOn w:val="2"/>
    <w:link w:val="6"/>
    <w:uiPriority w:val="99"/>
    <w:rPr>
      <w:rFonts w:eastAsiaTheme="minorEastAsia"/>
      <w:sz w:val="20"/>
      <w:szCs w:val="20"/>
      <w:lang w:eastAsia="bg-BG"/>
    </w:rPr>
  </w:style>
  <w:style w:type="character" w:customStyle="1" w:styleId="19">
    <w:name w:val="Comment Subject Char"/>
    <w:basedOn w:val="18"/>
    <w:link w:val="7"/>
    <w:semiHidden/>
    <w:qFormat/>
    <w:uiPriority w:val="99"/>
    <w:rPr>
      <w:rFonts w:eastAsiaTheme="minorEastAsia"/>
      <w:b/>
      <w:bCs/>
      <w:sz w:val="20"/>
      <w:szCs w:val="20"/>
      <w:lang w:eastAsia="bg-BG"/>
    </w:rPr>
  </w:style>
  <w:style w:type="character" w:customStyle="1" w:styleId="20">
    <w:name w:val="Balloon Text Char"/>
    <w:basedOn w:val="2"/>
    <w:link w:val="4"/>
    <w:semiHidden/>
    <w:uiPriority w:val="99"/>
    <w:rPr>
      <w:rFonts w:ascii="Segoe UI" w:hAnsi="Segoe UI" w:cs="Segoe UI" w:eastAsiaTheme="minorEastAsia"/>
      <w:sz w:val="18"/>
      <w:szCs w:val="18"/>
      <w:lang w:eastAsia="bg-BG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hart" Target="charts/chart2.xml"/><Relationship Id="rId8" Type="http://schemas.openxmlformats.org/officeDocument/2006/relationships/chart" Target="charts/chart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chart" Target="charts/chart13.xml"/><Relationship Id="rId25" Type="http://schemas.openxmlformats.org/officeDocument/2006/relationships/chart" Target="charts/chart12.xml"/><Relationship Id="rId24" Type="http://schemas.openxmlformats.org/officeDocument/2006/relationships/chart" Target="charts/chart11.xml"/><Relationship Id="rId23" Type="http://schemas.openxmlformats.org/officeDocument/2006/relationships/image" Target="media/image8.png"/><Relationship Id="rId22" Type="http://schemas.openxmlformats.org/officeDocument/2006/relationships/chart" Target="charts/chart10.xml"/><Relationship Id="rId21" Type="http://schemas.openxmlformats.org/officeDocument/2006/relationships/chart" Target="charts/chart9.xml"/><Relationship Id="rId20" Type="http://schemas.openxmlformats.org/officeDocument/2006/relationships/chart" Target="charts/chart8.xml"/><Relationship Id="rId2" Type="http://schemas.openxmlformats.org/officeDocument/2006/relationships/settings" Target="settings.xml"/><Relationship Id="rId19" Type="http://schemas.openxmlformats.org/officeDocument/2006/relationships/chart" Target="charts/chart7.xml"/><Relationship Id="rId18" Type="http://schemas.openxmlformats.org/officeDocument/2006/relationships/image" Target="media/image7.png"/><Relationship Id="rId17" Type="http://schemas.openxmlformats.org/officeDocument/2006/relationships/chart" Target="charts/chart6.xml"/><Relationship Id="rId16" Type="http://schemas.openxmlformats.org/officeDocument/2006/relationships/image" Target="media/image6.png"/><Relationship Id="rId15" Type="http://schemas.openxmlformats.org/officeDocument/2006/relationships/chart" Target="charts/chart5.xml"/><Relationship Id="rId14" Type="http://schemas.openxmlformats.org/officeDocument/2006/relationships/chart" Target="charts/chart4.xml"/><Relationship Id="rId13" Type="http://schemas.openxmlformats.org/officeDocument/2006/relationships/image" Target="media/image5.png"/><Relationship Id="rId12" Type="http://schemas.openxmlformats.org/officeDocument/2006/relationships/chart" Target="charts/chart3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package" Target="../embeddings/Workbook1.xlsx"/></Relationships>
</file>

<file path=word/charts/_rels/chart10.xml.rels><?xml version="1.0" encoding="UTF-8" standalone="yes"?>
<Relationships xmlns="http://schemas.openxmlformats.org/package/2006/relationships"><Relationship Id="rId3" Type="http://schemas.microsoft.com/office/2011/relationships/chartColorStyle" Target="colors10.xml"/><Relationship Id="rId2" Type="http://schemas.microsoft.com/office/2011/relationships/chartStyle" Target="style10.xml"/><Relationship Id="rId1" Type="http://schemas.openxmlformats.org/officeDocument/2006/relationships/package" Target="../embeddings/Workbook8.xlsx"/></Relationships>
</file>

<file path=word/charts/_rels/chart11.xml.rels><?xml version="1.0" encoding="UTF-8" standalone="yes"?>
<Relationships xmlns="http://schemas.openxmlformats.org/package/2006/relationships"><Relationship Id="rId3" Type="http://schemas.microsoft.com/office/2011/relationships/chartColorStyle" Target="colors13.xml"/><Relationship Id="rId2" Type="http://schemas.microsoft.com/office/2011/relationships/chartStyle" Target="style13.xml"/><Relationship Id="rId1" Type="http://schemas.openxmlformats.org/officeDocument/2006/relationships/package" Target="../embeddings/Workbook11.xlsx"/></Relationships>
</file>

<file path=word/charts/_rels/chart12.xml.rels><?xml version="1.0" encoding="UTF-8" standalone="yes"?>
<Relationships xmlns="http://schemas.openxmlformats.org/package/2006/relationships"><Relationship Id="rId3" Type="http://schemas.microsoft.com/office/2011/relationships/chartColorStyle" Target="colors12.xml"/><Relationship Id="rId2" Type="http://schemas.microsoft.com/office/2011/relationships/chartStyle" Target="style12.xml"/><Relationship Id="rId1" Type="http://schemas.openxmlformats.org/officeDocument/2006/relationships/package" Target="../embeddings/Workbook10.xlsx"/></Relationships>
</file>

<file path=word/charts/_rels/chart13.xml.rels><?xml version="1.0" encoding="UTF-8" standalone="yes"?>
<Relationships xmlns="http://schemas.openxmlformats.org/package/2006/relationships"><Relationship Id="rId4" Type="http://schemas.microsoft.com/office/2011/relationships/chartColorStyle" Target="colors9.xml"/><Relationship Id="rId3" Type="http://schemas.microsoft.com/office/2011/relationships/chartStyle" Target="style9.xml"/><Relationship Id="rId2" Type="http://schemas.openxmlformats.org/officeDocument/2006/relationships/themeOverride" Target="../theme/themeOverride6.xml"/><Relationship Id="rId1" Type="http://schemas.openxmlformats.org/officeDocument/2006/relationships/package" Target="../embeddings/Workbook7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D:\My%20Documents\Copy%20of%20Copy%20of%20&#1053;&#1072;&#1089;&#1077;&#1083;&#1077;&#1085;&#1080;-2011-7&#1075;+&#1086;&#1073;&#1088;&#1072;&#1079;&#1086;&#1074;&#1072;&#1085;&#1080;&#1077;%20(002)_2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ColorStyle" Target="colors5.xml"/><Relationship Id="rId2" Type="http://schemas.microsoft.com/office/2011/relationships/chartStyle" Target="style5.xml"/><Relationship Id="rId1" Type="http://schemas.openxmlformats.org/officeDocument/2006/relationships/oleObject" Target="file:///D:\My%20Documents\Copy%20of%20Copy%20of%20&#1053;&#1072;&#1089;&#1077;&#1083;&#1077;&#1085;&#1080;-2011-7&#1075;+&#1086;&#1073;&#1088;&#1072;&#1079;&#1086;&#1074;&#1072;&#1085;&#1080;&#1077;%20(002)_2.xlsx" TargetMode="External"/></Relationships>
</file>

<file path=word/charts/_rels/chart4.xml.rels><?xml version="1.0" encoding="UTF-8" standalone="yes"?>
<Relationships xmlns="http://schemas.openxmlformats.org/package/2006/relationships"><Relationship Id="rId4" Type="http://schemas.microsoft.com/office/2011/relationships/chartColorStyle" Target="colors6.xml"/><Relationship Id="rId3" Type="http://schemas.microsoft.com/office/2011/relationships/chartStyle" Target="style6.xml"/><Relationship Id="rId2" Type="http://schemas.openxmlformats.org/officeDocument/2006/relationships/themeOverride" Target="../theme/themeOverride3.xml"/><Relationship Id="rId1" Type="http://schemas.openxmlformats.org/officeDocument/2006/relationships/package" Target="../embeddings/Workbook4.xlsx"/></Relationships>
</file>

<file path=word/charts/_rels/chart5.xml.rels><?xml version="1.0" encoding="UTF-8" standalone="yes"?>
<Relationships xmlns="http://schemas.openxmlformats.org/package/2006/relationships"><Relationship Id="rId4" Type="http://schemas.microsoft.com/office/2011/relationships/chartColorStyle" Target="colors7.xml"/><Relationship Id="rId3" Type="http://schemas.microsoft.com/office/2011/relationships/chartStyle" Target="style7.xml"/><Relationship Id="rId2" Type="http://schemas.openxmlformats.org/officeDocument/2006/relationships/themeOverride" Target="../theme/themeOverride4.xml"/><Relationship Id="rId1" Type="http://schemas.openxmlformats.org/officeDocument/2006/relationships/package" Target="../embeddings/Workbook5.xlsx"/></Relationships>
</file>

<file path=word/charts/_rels/chart6.xml.rels><?xml version="1.0" encoding="UTF-8" standalone="yes"?>
<Relationships xmlns="http://schemas.openxmlformats.org/package/2006/relationships"><Relationship Id="rId4" Type="http://schemas.microsoft.com/office/2011/relationships/chartColorStyle" Target="colors3.xml"/><Relationship Id="rId3" Type="http://schemas.microsoft.com/office/2011/relationships/chartStyle" Target="style3.xml"/><Relationship Id="rId2" Type="http://schemas.openxmlformats.org/officeDocument/2006/relationships/themeOverride" Target="../theme/themeOverride1.xml"/><Relationship Id="rId1" Type="http://schemas.openxmlformats.org/officeDocument/2006/relationships/package" Target="../embeddings/Workbook2.xlsx"/></Relationships>
</file>

<file path=word/charts/_rels/chart7.xml.rels><?xml version="1.0" encoding="UTF-8" standalone="yes"?>
<Relationships xmlns="http://schemas.openxmlformats.org/package/2006/relationships"><Relationship Id="rId4" Type="http://schemas.microsoft.com/office/2011/relationships/chartColorStyle" Target="colors4.xml"/><Relationship Id="rId3" Type="http://schemas.microsoft.com/office/2011/relationships/chartStyle" Target="style4.xml"/><Relationship Id="rId2" Type="http://schemas.openxmlformats.org/officeDocument/2006/relationships/themeOverride" Target="../theme/themeOverride2.xml"/><Relationship Id="rId1" Type="http://schemas.openxmlformats.org/officeDocument/2006/relationships/package" Target="../embeddings/Workbook3.xlsx"/></Relationships>
</file>

<file path=word/charts/_rels/chart8.xml.rels><?xml version="1.0" encoding="UTF-8" standalone="yes"?>
<Relationships xmlns="http://schemas.openxmlformats.org/package/2006/relationships"><Relationship Id="rId4" Type="http://schemas.microsoft.com/office/2011/relationships/chartColorStyle" Target="colors8.xml"/><Relationship Id="rId3" Type="http://schemas.microsoft.com/office/2011/relationships/chartStyle" Target="style8.xml"/><Relationship Id="rId2" Type="http://schemas.openxmlformats.org/officeDocument/2006/relationships/themeOverride" Target="../theme/themeOverride5.xml"/><Relationship Id="rId1" Type="http://schemas.openxmlformats.org/officeDocument/2006/relationships/package" Target="../embeddings/Workbook6.xlsx"/></Relationships>
</file>

<file path=word/charts/_rels/chart9.xml.rels><?xml version="1.0" encoding="UTF-8" standalone="yes"?>
<Relationships xmlns="http://schemas.openxmlformats.org/package/2006/relationships"><Relationship Id="rId4" Type="http://schemas.microsoft.com/office/2011/relationships/chartColorStyle" Target="colors11.xml"/><Relationship Id="rId3" Type="http://schemas.microsoft.com/office/2011/relationships/chartStyle" Target="style11.xml"/><Relationship Id="rId2" Type="http://schemas.openxmlformats.org/officeDocument/2006/relationships/themeOverride" Target="../theme/themeOverride7.xml"/><Relationship Id="rId1" Type="http://schemas.openxmlformats.org/officeDocument/2006/relationships/package" Target="../embeddings/Workbook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707498816299158"/>
          <c:y val="0.0237324703344121"/>
          <c:w val="0.86379358405558"/>
          <c:h val="0.87985594033755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Sheet1!$U$6</c:f>
              <c:strCache>
                <c:ptCount val="1"/>
                <c:pt idx="0">
                  <c:v>Висше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00220021964082367"/>
                  <c:y val="-0.036677454153182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-0.038834951456310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-0.036677454153182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Sheet1!$P$7:$P$16</c:f>
              <c:numCache>
                <c:formatCode>General</c:formatCode>
                <c:ptCount val="10"/>
                <c:pt idx="0">
                  <c:v>1934</c:v>
                </c:pt>
                <c:pt idx="1">
                  <c:v>1946</c:v>
                </c:pt>
                <c:pt idx="2">
                  <c:v>1956</c:v>
                </c:pt>
                <c:pt idx="3">
                  <c:v>1965</c:v>
                </c:pt>
                <c:pt idx="4">
                  <c:v>1975</c:v>
                </c:pt>
                <c:pt idx="5">
                  <c:v>1985</c:v>
                </c:pt>
                <c:pt idx="6">
                  <c:v>1992</c:v>
                </c:pt>
                <c:pt idx="7">
                  <c:v>2001</c:v>
                </c:pt>
                <c:pt idx="8">
                  <c:v>2011</c:v>
                </c:pt>
                <c:pt idx="9">
                  <c:v>2021</c:v>
                </c:pt>
              </c:numCache>
            </c:numRef>
          </c:cat>
          <c:val>
            <c:numRef>
              <c:f>Sheet1!$U$7:$U$16</c:f>
              <c:numCache>
                <c:formatCode>0.0</c:formatCode>
                <c:ptCount val="10"/>
                <c:pt idx="0">
                  <c:v>0.66839368592478</c:v>
                </c:pt>
                <c:pt idx="1">
                  <c:v>0.919353287106585</c:v>
                </c:pt>
                <c:pt idx="2">
                  <c:v>1.73213292402777</c:v>
                </c:pt>
                <c:pt idx="3">
                  <c:v>2.40341127732229</c:v>
                </c:pt>
                <c:pt idx="4">
                  <c:v>4.07196032433514</c:v>
                </c:pt>
                <c:pt idx="5">
                  <c:v>6.21213836013025</c:v>
                </c:pt>
                <c:pt idx="6">
                  <c:v>7.94210835587659</c:v>
                </c:pt>
                <c:pt idx="7">
                  <c:v>9.59933656845039</c:v>
                </c:pt>
                <c:pt idx="8">
                  <c:v>19.5706771136484</c:v>
                </c:pt>
                <c:pt idx="9">
                  <c:v>25.5316836779367</c:v>
                </c:pt>
              </c:numCache>
            </c:numRef>
          </c:val>
        </c:ser>
        <c:ser>
          <c:idx val="1"/>
          <c:order val="1"/>
          <c:tx>
            <c:strRef>
              <c:f>Sheet1!$V$6</c:f>
              <c:strCache>
                <c:ptCount val="1"/>
                <c:pt idx="0">
                  <c:v>Средно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Sheet1!$P$7:$P$16</c:f>
              <c:numCache>
                <c:formatCode>General</c:formatCode>
                <c:ptCount val="10"/>
                <c:pt idx="0">
                  <c:v>1934</c:v>
                </c:pt>
                <c:pt idx="1">
                  <c:v>1946</c:v>
                </c:pt>
                <c:pt idx="2">
                  <c:v>1956</c:v>
                </c:pt>
                <c:pt idx="3">
                  <c:v>1965</c:v>
                </c:pt>
                <c:pt idx="4">
                  <c:v>1975</c:v>
                </c:pt>
                <c:pt idx="5">
                  <c:v>1985</c:v>
                </c:pt>
                <c:pt idx="6">
                  <c:v>1992</c:v>
                </c:pt>
                <c:pt idx="7">
                  <c:v>2001</c:v>
                </c:pt>
                <c:pt idx="8">
                  <c:v>2011</c:v>
                </c:pt>
                <c:pt idx="9">
                  <c:v>2021</c:v>
                </c:pt>
              </c:numCache>
            </c:numRef>
          </c:cat>
          <c:val>
            <c:numRef>
              <c:f>Sheet1!$V$7:$V$16</c:f>
              <c:numCache>
                <c:formatCode>0.0</c:formatCode>
                <c:ptCount val="10"/>
                <c:pt idx="0">
                  <c:v>2.69354702937039</c:v>
                </c:pt>
                <c:pt idx="1">
                  <c:v>4.60515475619446</c:v>
                </c:pt>
                <c:pt idx="2">
                  <c:v>8.85876387114296</c:v>
                </c:pt>
                <c:pt idx="3">
                  <c:v>12.3184274843563</c:v>
                </c:pt>
                <c:pt idx="4">
                  <c:v>20.8264205331124</c:v>
                </c:pt>
                <c:pt idx="5">
                  <c:v>30.212581193906</c:v>
                </c:pt>
                <c:pt idx="6">
                  <c:v>37.038874259035</c:v>
                </c:pt>
                <c:pt idx="7">
                  <c:v>42.3213730237087</c:v>
                </c:pt>
                <c:pt idx="8">
                  <c:v>43.3949672167759</c:v>
                </c:pt>
                <c:pt idx="9">
                  <c:v>47.1081550170904</c:v>
                </c:pt>
              </c:numCache>
            </c:numRef>
          </c:val>
        </c:ser>
        <c:ser>
          <c:idx val="2"/>
          <c:order val="2"/>
          <c:tx>
            <c:strRef>
              <c:f>Sheet1!$W$6</c:f>
              <c:strCache>
                <c:ptCount val="1"/>
                <c:pt idx="0">
                  <c:v>Основно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Sheet1!$P$7:$P$16</c:f>
              <c:numCache>
                <c:formatCode>General</c:formatCode>
                <c:ptCount val="10"/>
                <c:pt idx="0">
                  <c:v>1934</c:v>
                </c:pt>
                <c:pt idx="1">
                  <c:v>1946</c:v>
                </c:pt>
                <c:pt idx="2">
                  <c:v>1956</c:v>
                </c:pt>
                <c:pt idx="3">
                  <c:v>1965</c:v>
                </c:pt>
                <c:pt idx="4">
                  <c:v>1975</c:v>
                </c:pt>
                <c:pt idx="5">
                  <c:v>1985</c:v>
                </c:pt>
                <c:pt idx="6">
                  <c:v>1992</c:v>
                </c:pt>
                <c:pt idx="7">
                  <c:v>2001</c:v>
                </c:pt>
                <c:pt idx="8">
                  <c:v>2011</c:v>
                </c:pt>
                <c:pt idx="9">
                  <c:v>2021</c:v>
                </c:pt>
              </c:numCache>
            </c:numRef>
          </c:cat>
          <c:val>
            <c:numRef>
              <c:f>Sheet1!$W$7:$W$16</c:f>
              <c:numCache>
                <c:formatCode>0.0</c:formatCode>
                <c:ptCount val="10"/>
                <c:pt idx="0">
                  <c:v>8.96654449914283</c:v>
                </c:pt>
                <c:pt idx="1">
                  <c:v>18.7307538803473</c:v>
                </c:pt>
                <c:pt idx="2">
                  <c:v>24.8832643160079</c:v>
                </c:pt>
                <c:pt idx="3">
                  <c:v>32.0249050978489</c:v>
                </c:pt>
                <c:pt idx="4">
                  <c:v>34.1837655373155</c:v>
                </c:pt>
                <c:pt idx="5">
                  <c:v>32.1577668144466</c:v>
                </c:pt>
                <c:pt idx="6">
                  <c:v>30.3967040123361</c:v>
                </c:pt>
                <c:pt idx="7">
                  <c:v>27.4435884330126</c:v>
                </c:pt>
                <c:pt idx="8">
                  <c:v>23.092542826864</c:v>
                </c:pt>
                <c:pt idx="9">
                  <c:v>16.3960384048549</c:v>
                </c:pt>
              </c:numCache>
            </c:numRef>
          </c:val>
        </c:ser>
        <c:ser>
          <c:idx val="3"/>
          <c:order val="3"/>
          <c:tx>
            <c:strRef>
              <c:f>Sheet1!$X$6</c:f>
              <c:strCache>
                <c:ptCount val="1"/>
                <c:pt idx="0">
                  <c:v>Начално и по-ниско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Sheet1!$P$7:$P$16</c:f>
              <c:numCache>
                <c:formatCode>General</c:formatCode>
                <c:ptCount val="10"/>
                <c:pt idx="0">
                  <c:v>1934</c:v>
                </c:pt>
                <c:pt idx="1">
                  <c:v>1946</c:v>
                </c:pt>
                <c:pt idx="2">
                  <c:v>1956</c:v>
                </c:pt>
                <c:pt idx="3">
                  <c:v>1965</c:v>
                </c:pt>
                <c:pt idx="4">
                  <c:v>1975</c:v>
                </c:pt>
                <c:pt idx="5">
                  <c:v>1985</c:v>
                </c:pt>
                <c:pt idx="6">
                  <c:v>1992</c:v>
                </c:pt>
                <c:pt idx="7">
                  <c:v>2001</c:v>
                </c:pt>
                <c:pt idx="8">
                  <c:v>2011</c:v>
                </c:pt>
                <c:pt idx="9">
                  <c:v>2021</c:v>
                </c:pt>
              </c:numCache>
            </c:numRef>
          </c:cat>
          <c:val>
            <c:numRef>
              <c:f>Sheet1!$X$7:$X$16</c:f>
              <c:numCache>
                <c:formatCode>0.0</c:formatCode>
                <c:ptCount val="10"/>
                <c:pt idx="0">
                  <c:v>87.5463794111029</c:v>
                </c:pt>
                <c:pt idx="1">
                  <c:v>75.7329711265348</c:v>
                </c:pt>
                <c:pt idx="2">
                  <c:v>64.5258388888213</c:v>
                </c:pt>
                <c:pt idx="3">
                  <c:v>53.2532561404725</c:v>
                </c:pt>
                <c:pt idx="4">
                  <c:v>40.917853605237</c:v>
                </c:pt>
                <c:pt idx="5">
                  <c:v>31.4175136315171</c:v>
                </c:pt>
                <c:pt idx="6">
                  <c:v>24.5213079610885</c:v>
                </c:pt>
                <c:pt idx="7">
                  <c:v>20.076303198288</c:v>
                </c:pt>
                <c:pt idx="8">
                  <c:v>13.7342575876371</c:v>
                </c:pt>
                <c:pt idx="9">
                  <c:v>10.9120948452292</c:v>
                </c:pt>
              </c:numCache>
            </c:numRef>
          </c:val>
        </c:ser>
        <c:ser>
          <c:idx val="4"/>
          <c:order val="4"/>
          <c:tx>
            <c:strRef>
              <c:f>Sheet1!$Y$6</c:f>
              <c:strCache>
                <c:ptCount val="1"/>
                <c:pt idx="0">
                  <c:v/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numRef>
              <c:f>Sheet1!$P$7:$P$16</c:f>
              <c:numCache>
                <c:formatCode>General</c:formatCode>
                <c:ptCount val="10"/>
                <c:pt idx="0">
                  <c:v>1934</c:v>
                </c:pt>
                <c:pt idx="1">
                  <c:v>1946</c:v>
                </c:pt>
                <c:pt idx="2">
                  <c:v>1956</c:v>
                </c:pt>
                <c:pt idx="3">
                  <c:v>1965</c:v>
                </c:pt>
                <c:pt idx="4">
                  <c:v>1975</c:v>
                </c:pt>
                <c:pt idx="5">
                  <c:v>1985</c:v>
                </c:pt>
                <c:pt idx="6">
                  <c:v>1992</c:v>
                </c:pt>
                <c:pt idx="7">
                  <c:v>2001</c:v>
                </c:pt>
                <c:pt idx="8">
                  <c:v>2011</c:v>
                </c:pt>
                <c:pt idx="9">
                  <c:v>2021</c:v>
                </c:pt>
              </c:numCache>
            </c:numRef>
          </c:cat>
          <c:val>
            <c:numRef>
              <c:f>Sheet1!$Y$7:$Y$15</c:f>
              <c:numCache>
                <c:formatCode>0.0</c:formatCode>
                <c:ptCount val="9"/>
                <c:pt idx="0">
                  <c:v>0.125135374459109</c:v>
                </c:pt>
                <c:pt idx="1">
                  <c:v>0.0117669498168716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0.10100541166374</c:v>
                </c:pt>
                <c:pt idx="7">
                  <c:v>0.559398776540308</c:v>
                </c:pt>
                <c:pt idx="8">
                  <c:v>0.207555255074714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0"/>
        <c:overlap val="100"/>
        <c:axId val="1523167663"/>
        <c:axId val="1523166831"/>
      </c:barChart>
      <c:catAx>
        <c:axId val="152316766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1523166831"/>
        <c:crossesAt val="0"/>
        <c:auto val="1"/>
        <c:lblAlgn val="ctr"/>
        <c:lblOffset val="100"/>
        <c:noMultiLvlLbl val="0"/>
      </c:catAx>
      <c:valAx>
        <c:axId val="1523166831"/>
        <c:scaling>
          <c:orientation val="minMax"/>
          <c:max val="1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bg-BG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60985428135889"/>
              <c:y val="0.90965454560898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15231676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4"/>
        <c:delete val="1"/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en-US" sz="900">
          <a:latin typeface="Times New Roman" panose="02020603050405020304" charset="0"/>
          <a:cs typeface="Times New Roman" panose="02020603050405020304" charset="0"/>
        </a:defRPr>
      </a:pPr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0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bg-BG"/>
              <a:t>%</a:t>
            </a:r>
            <a:endParaRPr lang="en-US"/>
          </a:p>
        </c:rich>
      </c:tx>
      <c:layout>
        <c:manualLayout>
          <c:xMode val="edge"/>
          <c:yMode val="edge"/>
          <c:x val="0.0646144231971004"/>
          <c:y val="0.0181288391582631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678136661488742"/>
          <c:y val="0.100210526315789"/>
          <c:w val="0.907243023193529"/>
          <c:h val="0.693674816963669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Sheet1!$C$11</c:f>
              <c:strCache>
                <c:ptCount val="1"/>
                <c:pt idx="0">
                  <c:v>Мъже</c:v>
                </c:pt>
              </c:strCache>
            </c:strRef>
          </c:tx>
          <c:spPr>
            <a:solidFill>
              <a:srgbClr val="7395D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.071257355988396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900" b="1" i="0" u="none" strike="noStrike" kern="1200" baseline="0">
                    <a:solidFill>
                      <a:schemeClr val="bg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Sheet1!$A$12:$A$15</c:f>
              <c:strCache>
                <c:ptCount val="4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Sheet1!$C$12:$C$15</c:f>
              <c:numCache>
                <c:formatCode>0.0</c:formatCode>
                <c:ptCount val="4"/>
                <c:pt idx="0">
                  <c:v>4.58789676473814</c:v>
                </c:pt>
                <c:pt idx="1">
                  <c:v>10.0587843498562</c:v>
                </c:pt>
                <c:pt idx="2">
                  <c:v>27.7094816260926</c:v>
                </c:pt>
                <c:pt idx="3">
                  <c:v>39.4293424603436</c:v>
                </c:pt>
              </c:numCache>
            </c:numRef>
          </c:val>
        </c:ser>
        <c:ser>
          <c:idx val="2"/>
          <c:order val="2"/>
          <c:tx>
            <c:strRef>
              <c:f>Sheet1!$D$11</c:f>
              <c:strCache>
                <c:ptCount val="1"/>
                <c:pt idx="0">
                  <c:v>Жени</c:v>
                </c:pt>
              </c:strCache>
            </c:strRef>
          </c:tx>
          <c:spPr>
            <a:solidFill>
              <a:srgbClr val="EB701D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.06689837454528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Sheet1!$A$12:$A$15</c:f>
              <c:strCache>
                <c:ptCount val="4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Sheet1!$D$12:$D$15</c:f>
              <c:numCache>
                <c:formatCode>0.0</c:formatCode>
                <c:ptCount val="4"/>
                <c:pt idx="0">
                  <c:v>4.20728504117737</c:v>
                </c:pt>
                <c:pt idx="1">
                  <c:v>9.37383930423374</c:v>
                </c:pt>
                <c:pt idx="2">
                  <c:v>29.4018700371188</c:v>
                </c:pt>
                <c:pt idx="3">
                  <c:v>47.7023374145333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overlap val="-37"/>
        <c:axId val="1940884879"/>
        <c:axId val="1940889039"/>
      </c:barChart>
      <c:lineChart>
        <c:grouping val="standard"/>
        <c:varyColors val="0"/>
        <c:ser>
          <c:idx val="0"/>
          <c:order val="0"/>
          <c:tx>
            <c:strRef>
              <c:f>Sheet1!$B$11</c:f>
              <c:strCache>
                <c:ptCount val="1"/>
                <c:pt idx="0">
                  <c:v>Общо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Sheet1!$A$12:$A$15</c:f>
              <c:strCache>
                <c:ptCount val="4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Sheet1!$B$12:$B$15</c:f>
              <c:numCache>
                <c:formatCode>0.0</c:formatCode>
                <c:ptCount val="4"/>
                <c:pt idx="0">
                  <c:v>4.36303074404915</c:v>
                </c:pt>
                <c:pt idx="1">
                  <c:v>9.77167632590092</c:v>
                </c:pt>
                <c:pt idx="2">
                  <c:v>28.4516293866517</c:v>
                </c:pt>
                <c:pt idx="3">
                  <c:v>43.6366870987045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1940884879"/>
        <c:axId val="1940889039"/>
      </c:lineChart>
      <c:catAx>
        <c:axId val="19408848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1940889039"/>
        <c:crosses val="autoZero"/>
        <c:auto val="1"/>
        <c:lblAlgn val="ctr"/>
        <c:lblOffset val="100"/>
        <c:noMultiLvlLbl val="0"/>
      </c:catAx>
      <c:valAx>
        <c:axId val="19408890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1940884879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6367418358419"/>
          <c:y val="0.897705944651655"/>
          <c:w val="0.489532736979306"/>
          <c:h val="0.07422387990974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en-US" sz="900">
          <a:latin typeface="Times New Roman" panose="02020603050405020304" charset="0"/>
          <a:cs typeface="Times New Roman" panose="02020603050405020304" charset="0"/>
        </a:defRPr>
      </a:pPr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817099092121682"/>
          <c:y val="0.101851851851852"/>
          <c:w val="0.888235445979089"/>
          <c:h val="0.6941805191017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'new edu'!$J$69</c:f>
              <c:strCache>
                <c:ptCount val="1"/>
                <c:pt idx="0">
                  <c:v>Мъже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1" i="0" u="none" strike="noStrike" kern="1200" baseline="0">
                    <a:solidFill>
                      <a:schemeClr val="bg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'new edu'!$I$70:$I$73</c:f>
              <c:strCache>
                <c:ptCount val="4"/>
                <c:pt idx="0">
                  <c:v>Висше</c:v>
                </c:pt>
                <c:pt idx="1">
                  <c:v>Седно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'new edu'!$J$70:$J$73</c:f>
              <c:numCache>
                <c:formatCode>0.0</c:formatCode>
                <c:ptCount val="4"/>
                <c:pt idx="0">
                  <c:v>11.3156674881529</c:v>
                </c:pt>
                <c:pt idx="1">
                  <c:v>57.1289222078082</c:v>
                </c:pt>
                <c:pt idx="2">
                  <c:v>25.2617028442989</c:v>
                </c:pt>
                <c:pt idx="3">
                  <c:v>6.29370745973995</c:v>
                </c:pt>
              </c:numCache>
            </c:numRef>
          </c:val>
        </c:ser>
        <c:ser>
          <c:idx val="1"/>
          <c:order val="1"/>
          <c:tx>
            <c:strRef>
              <c:f>'new edu'!$K$69</c:f>
              <c:strCache>
                <c:ptCount val="1"/>
                <c:pt idx="0">
                  <c:v>Жени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'new edu'!$I$70:$I$73</c:f>
              <c:strCache>
                <c:ptCount val="4"/>
                <c:pt idx="0">
                  <c:v>Висше</c:v>
                </c:pt>
                <c:pt idx="1">
                  <c:v>Седно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'new edu'!$K$70:$K$73</c:f>
              <c:numCache>
                <c:formatCode>0.0</c:formatCode>
                <c:ptCount val="4"/>
                <c:pt idx="0">
                  <c:v>17.3686633474489</c:v>
                </c:pt>
                <c:pt idx="1">
                  <c:v>50.6175447668717</c:v>
                </c:pt>
                <c:pt idx="2">
                  <c:v>23.9636378542172</c:v>
                </c:pt>
                <c:pt idx="3">
                  <c:v>8.05015403146215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8"/>
        <c:overlap val="-27"/>
        <c:axId val="1309168239"/>
        <c:axId val="1309169071"/>
      </c:barChart>
      <c:lineChart>
        <c:grouping val="standard"/>
        <c:varyColors val="0"/>
        <c:ser>
          <c:idx val="2"/>
          <c:order val="2"/>
          <c:tx>
            <c:strRef>
              <c:f>'new edu'!$L$69</c:f>
              <c:strCache>
                <c:ptCount val="1"/>
                <c:pt idx="0">
                  <c:v>Общо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0.0532786885245902"/>
                  <c:y val="-0.058333333333333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'new edu'!$I$70:$I$73</c:f>
              <c:strCache>
                <c:ptCount val="4"/>
                <c:pt idx="0">
                  <c:v>Висше</c:v>
                </c:pt>
                <c:pt idx="1">
                  <c:v>Седно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'new edu'!$L$70:$L$73</c:f>
              <c:numCache>
                <c:formatCode>0.0</c:formatCode>
                <c:ptCount val="4"/>
                <c:pt idx="0">
                  <c:v>14.4269261563097</c:v>
                </c:pt>
                <c:pt idx="1">
                  <c:v>53.7820539832676</c:v>
                </c:pt>
                <c:pt idx="2">
                  <c:v>24.594493408492</c:v>
                </c:pt>
                <c:pt idx="3">
                  <c:v>7.19652645193078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1309168239"/>
        <c:axId val="1309169071"/>
      </c:lineChart>
      <c:catAx>
        <c:axId val="130916823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bg-BG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0555475237726432"/>
              <c:y val="0.0052529892096821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1309169071"/>
        <c:crosses val="autoZero"/>
        <c:auto val="1"/>
        <c:lblAlgn val="ctr"/>
        <c:lblOffset val="100"/>
        <c:noMultiLvlLbl val="0"/>
      </c:catAx>
      <c:valAx>
        <c:axId val="13091690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13091682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710468568478"/>
          <c:y val="0.898771507728201"/>
          <c:w val="0.598043543737361"/>
          <c:h val="0.07345071449402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en-US" sz="900">
          <a:latin typeface="Times New Roman" panose="02020603050405020304" charset="0"/>
          <a:cs typeface="Times New Roman" panose="02020603050405020304" charset="0"/>
        </a:defRPr>
      </a:pPr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83071741032371"/>
          <c:y val="0.0925925925925926"/>
          <c:w val="0.886372703412074"/>
          <c:h val="0.7034397783610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'new edu'!$J$85</c:f>
              <c:strCache>
                <c:ptCount val="1"/>
                <c:pt idx="0">
                  <c:v>Мъже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1" i="0" u="none" strike="noStrike" kern="1200" baseline="0">
                    <a:solidFill>
                      <a:schemeClr val="bg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'new edu'!$I$86:$I$89</c:f>
              <c:strCache>
                <c:ptCount val="4"/>
                <c:pt idx="0">
                  <c:v>Висше</c:v>
                </c:pt>
                <c:pt idx="1">
                  <c:v>Седно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'new edu'!$J$86:$J$89</c:f>
              <c:numCache>
                <c:formatCode>0.0</c:formatCode>
                <c:ptCount val="4"/>
                <c:pt idx="0">
                  <c:v>11.3828607635039</c:v>
                </c:pt>
                <c:pt idx="1">
                  <c:v>55.2098843655948</c:v>
                </c:pt>
                <c:pt idx="2">
                  <c:v>23.4964887269655</c:v>
                </c:pt>
                <c:pt idx="3">
                  <c:v>9.91076614393579</c:v>
                </c:pt>
              </c:numCache>
            </c:numRef>
          </c:val>
        </c:ser>
        <c:ser>
          <c:idx val="1"/>
          <c:order val="1"/>
          <c:tx>
            <c:strRef>
              <c:f>'new edu'!$K$85</c:f>
              <c:strCache>
                <c:ptCount val="1"/>
                <c:pt idx="0">
                  <c:v>Жени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'new edu'!$I$86:$I$89</c:f>
              <c:strCache>
                <c:ptCount val="4"/>
                <c:pt idx="0">
                  <c:v>Висше</c:v>
                </c:pt>
                <c:pt idx="1">
                  <c:v>Седно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'new edu'!$K$86:$K$89</c:f>
              <c:numCache>
                <c:formatCode>0.0</c:formatCode>
                <c:ptCount val="4"/>
                <c:pt idx="0">
                  <c:v>17.3499663589336</c:v>
                </c:pt>
                <c:pt idx="1">
                  <c:v>40.8226067965984</c:v>
                </c:pt>
                <c:pt idx="2">
                  <c:v>27.399269823412</c:v>
                </c:pt>
                <c:pt idx="3">
                  <c:v>14.428157021056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2"/>
        <c:overlap val="-27"/>
        <c:axId val="1292387151"/>
        <c:axId val="1292385071"/>
      </c:barChart>
      <c:lineChart>
        <c:grouping val="standard"/>
        <c:varyColors val="0"/>
        <c:ser>
          <c:idx val="2"/>
          <c:order val="2"/>
          <c:tx>
            <c:strRef>
              <c:f>'new edu'!$L$85</c:f>
              <c:strCache>
                <c:ptCount val="1"/>
                <c:pt idx="0">
                  <c:v>Общо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0.0569444444444444"/>
                  <c:y val="-0.053703703703703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0236111111111111"/>
                  <c:y val="-0.058333333333333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'new edu'!$I$86:$I$89</c:f>
              <c:strCache>
                <c:ptCount val="4"/>
                <c:pt idx="0">
                  <c:v>Висше</c:v>
                </c:pt>
                <c:pt idx="1">
                  <c:v>Седно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'new edu'!$L$86:$L$89</c:f>
              <c:numCache>
                <c:formatCode>0.0</c:formatCode>
                <c:ptCount val="4"/>
                <c:pt idx="0">
                  <c:v>14.3015138272964</c:v>
                </c:pt>
                <c:pt idx="1">
                  <c:v>48.1727252128314</c:v>
                </c:pt>
                <c:pt idx="2">
                  <c:v>25.4054316511831</c:v>
                </c:pt>
                <c:pt idx="3">
                  <c:v>12.1203293086891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1292387151"/>
        <c:axId val="1292385071"/>
      </c:lineChart>
      <c:catAx>
        <c:axId val="129238715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bg-BG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0620288713910761"/>
              <c:y val="0.0098826188393117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1292385071"/>
        <c:crosses val="autoZero"/>
        <c:auto val="1"/>
        <c:lblAlgn val="ctr"/>
        <c:lblOffset val="100"/>
        <c:noMultiLvlLbl val="0"/>
      </c:catAx>
      <c:valAx>
        <c:axId val="12923850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12923871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8216754155731"/>
          <c:y val="0.898771507728201"/>
          <c:w val="0.521899825021872"/>
          <c:h val="0.07345071449402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en-US" sz="900">
          <a:latin typeface="Times New Roman" panose="02020603050405020304" charset="0"/>
          <a:cs typeface="Times New Roman" panose="02020603050405020304" charset="0"/>
        </a:defRPr>
      </a:pPr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0603244014557754"/>
          <c:y val="0.0709219858156028"/>
          <c:w val="0.917486998941872"/>
          <c:h val="0.5823158541352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NEET!$Q$39</c:f>
              <c:strCache>
                <c:ptCount val="1"/>
                <c:pt idx="0">
                  <c:v>Незаети и неучастващи в образование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3"/>
              <c:layout>
                <c:manualLayout>
                  <c:x val="0"/>
                  <c:y val="0.010638297872340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NEET!$P$40:$P$67</c:f>
              <c:strCache>
                <c:ptCount val="28"/>
                <c:pt idx="0">
                  <c:v>Благоевград</c:v>
                </c:pt>
                <c:pt idx="1">
                  <c:v>Бургас</c:v>
                </c:pt>
                <c:pt idx="2">
                  <c:v>Варна</c:v>
                </c:pt>
                <c:pt idx="3">
                  <c:v>Велико Търново</c:v>
                </c:pt>
                <c:pt idx="4">
                  <c:v>Видин</c:v>
                </c:pt>
                <c:pt idx="5">
                  <c:v>Враца</c:v>
                </c:pt>
                <c:pt idx="6">
                  <c:v>Габрово</c:v>
                </c:pt>
                <c:pt idx="7">
                  <c:v>Добрич</c:v>
                </c:pt>
                <c:pt idx="8">
                  <c:v>Кърджали</c:v>
                </c:pt>
                <c:pt idx="9">
                  <c:v>Кюстендил</c:v>
                </c:pt>
                <c:pt idx="10">
                  <c:v>Ловеч</c:v>
                </c:pt>
                <c:pt idx="11">
                  <c:v>Монтана</c:v>
                </c:pt>
                <c:pt idx="12">
                  <c:v>Пазарджик</c:v>
                </c:pt>
                <c:pt idx="13">
                  <c:v>Перник</c:v>
                </c:pt>
                <c:pt idx="14">
                  <c:v>Плевен</c:v>
                </c:pt>
                <c:pt idx="15">
                  <c:v>Пловдив</c:v>
                </c:pt>
                <c:pt idx="16">
                  <c:v>Разград</c:v>
                </c:pt>
                <c:pt idx="17">
                  <c:v>Русе</c:v>
                </c:pt>
                <c:pt idx="18">
                  <c:v>Силистра</c:v>
                </c:pt>
                <c:pt idx="19">
                  <c:v>Сливен</c:v>
                </c:pt>
                <c:pt idx="20">
                  <c:v>Смолян</c:v>
                </c:pt>
                <c:pt idx="21">
                  <c:v>София</c:v>
                </c:pt>
                <c:pt idx="22">
                  <c:v>София (столица)</c:v>
                </c:pt>
                <c:pt idx="23">
                  <c:v>Стара Загора</c:v>
                </c:pt>
                <c:pt idx="24">
                  <c:v>Търговище</c:v>
                </c:pt>
                <c:pt idx="25">
                  <c:v>Хасково</c:v>
                </c:pt>
                <c:pt idx="26">
                  <c:v>Шумен</c:v>
                </c:pt>
                <c:pt idx="27">
                  <c:v>Ямбол</c:v>
                </c:pt>
              </c:strCache>
            </c:strRef>
          </c:cat>
          <c:val>
            <c:numRef>
              <c:f>NEET!$Q$40:$Q$67</c:f>
              <c:numCache>
                <c:formatCode>0.0</c:formatCode>
                <c:ptCount val="28"/>
                <c:pt idx="0">
                  <c:v>24.4676120361678</c:v>
                </c:pt>
                <c:pt idx="1">
                  <c:v>23.8478656686223</c:v>
                </c:pt>
                <c:pt idx="2">
                  <c:v>18.3805265772479</c:v>
                </c:pt>
                <c:pt idx="3">
                  <c:v>21.5823895358111</c:v>
                </c:pt>
                <c:pt idx="4">
                  <c:v>31.1929824561403</c:v>
                </c:pt>
                <c:pt idx="5">
                  <c:v>28.4489554592038</c:v>
                </c:pt>
                <c:pt idx="6">
                  <c:v>15.9720947310446</c:v>
                </c:pt>
                <c:pt idx="7">
                  <c:v>29.3488212405585</c:v>
                </c:pt>
                <c:pt idx="8">
                  <c:v>28.381994410418</c:v>
                </c:pt>
                <c:pt idx="9">
                  <c:v>24.5677614194035</c:v>
                </c:pt>
                <c:pt idx="10">
                  <c:v>32.212998582709</c:v>
                </c:pt>
                <c:pt idx="11">
                  <c:v>29.5129136123861</c:v>
                </c:pt>
                <c:pt idx="12">
                  <c:v>27.1786081590675</c:v>
                </c:pt>
                <c:pt idx="13">
                  <c:v>18.9355322338831</c:v>
                </c:pt>
                <c:pt idx="14">
                  <c:v>26.4142932955953</c:v>
                </c:pt>
                <c:pt idx="15">
                  <c:v>21.1657605259831</c:v>
                </c:pt>
                <c:pt idx="16">
                  <c:v>28.8382823546923</c:v>
                </c:pt>
                <c:pt idx="17">
                  <c:v>20.819643015718</c:v>
                </c:pt>
                <c:pt idx="18">
                  <c:v>33.3274052996621</c:v>
                </c:pt>
                <c:pt idx="19">
                  <c:v>37.5874913020343</c:v>
                </c:pt>
                <c:pt idx="20">
                  <c:v>17.5183876205941</c:v>
                </c:pt>
                <c:pt idx="21">
                  <c:v>21.5684357996937</c:v>
                </c:pt>
                <c:pt idx="22">
                  <c:v>10.6329891366934</c:v>
                </c:pt>
                <c:pt idx="23">
                  <c:v>24.6579369321219</c:v>
                </c:pt>
                <c:pt idx="24">
                  <c:v>30.3793407650974</c:v>
                </c:pt>
                <c:pt idx="25">
                  <c:v>28.7707161319751</c:v>
                </c:pt>
                <c:pt idx="26">
                  <c:v>25.5836378400325</c:v>
                </c:pt>
                <c:pt idx="27">
                  <c:v>25.9334691106585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3"/>
        <c:overlap val="-27"/>
        <c:axId val="1292092447"/>
        <c:axId val="1292094527"/>
      </c:barChart>
      <c:lineChart>
        <c:grouping val="standard"/>
        <c:varyColors val="0"/>
        <c:ser>
          <c:idx val="1"/>
          <c:order val="1"/>
          <c:tx>
            <c:strRef>
              <c:f>NEET!$R$39</c:f>
              <c:strCache>
                <c:ptCount val="1"/>
                <c:pt idx="0">
                  <c:v>Общо за страната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NEET!$P$40:$P$67</c:f>
              <c:strCache>
                <c:ptCount val="28"/>
                <c:pt idx="0">
                  <c:v>Благоевград</c:v>
                </c:pt>
                <c:pt idx="1">
                  <c:v>Бургас</c:v>
                </c:pt>
                <c:pt idx="2">
                  <c:v>Варна</c:v>
                </c:pt>
                <c:pt idx="3">
                  <c:v>Велико Търново</c:v>
                </c:pt>
                <c:pt idx="4">
                  <c:v>Видин</c:v>
                </c:pt>
                <c:pt idx="5">
                  <c:v>Враца</c:v>
                </c:pt>
                <c:pt idx="6">
                  <c:v>Габрово</c:v>
                </c:pt>
                <c:pt idx="7">
                  <c:v>Добрич</c:v>
                </c:pt>
                <c:pt idx="8">
                  <c:v>Кърджали</c:v>
                </c:pt>
                <c:pt idx="9">
                  <c:v>Кюстендил</c:v>
                </c:pt>
                <c:pt idx="10">
                  <c:v>Ловеч</c:v>
                </c:pt>
                <c:pt idx="11">
                  <c:v>Монтана</c:v>
                </c:pt>
                <c:pt idx="12">
                  <c:v>Пазарджик</c:v>
                </c:pt>
                <c:pt idx="13">
                  <c:v>Перник</c:v>
                </c:pt>
                <c:pt idx="14">
                  <c:v>Плевен</c:v>
                </c:pt>
                <c:pt idx="15">
                  <c:v>Пловдив</c:v>
                </c:pt>
                <c:pt idx="16">
                  <c:v>Разград</c:v>
                </c:pt>
                <c:pt idx="17">
                  <c:v>Русе</c:v>
                </c:pt>
                <c:pt idx="18">
                  <c:v>Силистра</c:v>
                </c:pt>
                <c:pt idx="19">
                  <c:v>Сливен</c:v>
                </c:pt>
                <c:pt idx="20">
                  <c:v>Смолян</c:v>
                </c:pt>
                <c:pt idx="21">
                  <c:v>София</c:v>
                </c:pt>
                <c:pt idx="22">
                  <c:v>София (столица)</c:v>
                </c:pt>
                <c:pt idx="23">
                  <c:v>Стара Загора</c:v>
                </c:pt>
                <c:pt idx="24">
                  <c:v>Търговище</c:v>
                </c:pt>
                <c:pt idx="25">
                  <c:v>Хасково</c:v>
                </c:pt>
                <c:pt idx="26">
                  <c:v>Шумен</c:v>
                </c:pt>
                <c:pt idx="27">
                  <c:v>Ямбол</c:v>
                </c:pt>
              </c:strCache>
            </c:strRef>
          </c:cat>
          <c:val>
            <c:numRef>
              <c:f>NEET!$R$40:$R$67</c:f>
              <c:numCache>
                <c:formatCode>0.0</c:formatCode>
                <c:ptCount val="28"/>
                <c:pt idx="0">
                  <c:v>21.7007959932237</c:v>
                </c:pt>
                <c:pt idx="1">
                  <c:v>21.7007959932237</c:v>
                </c:pt>
                <c:pt idx="2">
                  <c:v>21.7007959932237</c:v>
                </c:pt>
                <c:pt idx="3">
                  <c:v>21.7007959932237</c:v>
                </c:pt>
                <c:pt idx="4">
                  <c:v>21.7007959932237</c:v>
                </c:pt>
                <c:pt idx="5">
                  <c:v>21.7007959932237</c:v>
                </c:pt>
                <c:pt idx="6">
                  <c:v>21.7007959932237</c:v>
                </c:pt>
                <c:pt idx="7">
                  <c:v>21.7007959932237</c:v>
                </c:pt>
                <c:pt idx="8">
                  <c:v>21.7007959932237</c:v>
                </c:pt>
                <c:pt idx="9">
                  <c:v>21.7007959932237</c:v>
                </c:pt>
                <c:pt idx="10">
                  <c:v>21.7007959932237</c:v>
                </c:pt>
                <c:pt idx="11">
                  <c:v>21.7007959932237</c:v>
                </c:pt>
                <c:pt idx="12">
                  <c:v>21.7007959932237</c:v>
                </c:pt>
                <c:pt idx="13">
                  <c:v>21.7007959932237</c:v>
                </c:pt>
                <c:pt idx="14">
                  <c:v>21.7007959932237</c:v>
                </c:pt>
                <c:pt idx="15">
                  <c:v>21.7007959932237</c:v>
                </c:pt>
                <c:pt idx="16">
                  <c:v>21.7007959932237</c:v>
                </c:pt>
                <c:pt idx="17">
                  <c:v>21.7007959932237</c:v>
                </c:pt>
                <c:pt idx="18">
                  <c:v>21.7007959932237</c:v>
                </c:pt>
                <c:pt idx="19">
                  <c:v>21.7007959932237</c:v>
                </c:pt>
                <c:pt idx="20">
                  <c:v>21.7007959932237</c:v>
                </c:pt>
                <c:pt idx="21">
                  <c:v>21.7007959932237</c:v>
                </c:pt>
                <c:pt idx="22">
                  <c:v>21.7007959932237</c:v>
                </c:pt>
                <c:pt idx="23">
                  <c:v>21.7007959932237</c:v>
                </c:pt>
                <c:pt idx="24">
                  <c:v>21.7007959932237</c:v>
                </c:pt>
                <c:pt idx="25">
                  <c:v>21.7007959932237</c:v>
                </c:pt>
                <c:pt idx="26">
                  <c:v>21.7007959932237</c:v>
                </c:pt>
                <c:pt idx="27">
                  <c:v>21.7007959932237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1292092447"/>
        <c:axId val="1292094527"/>
      </c:lineChart>
      <c:catAx>
        <c:axId val="129209244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bg-BG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0427744421639936"/>
              <c:y val="0.0040238454235773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1292094527"/>
        <c:crosses val="autoZero"/>
        <c:auto val="1"/>
        <c:lblAlgn val="ctr"/>
        <c:lblOffset val="100"/>
        <c:noMultiLvlLbl val="0"/>
      </c:catAx>
      <c:valAx>
        <c:axId val="12920945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12920924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 sz="900">
          <a:latin typeface="Times New Roman" panose="02020603050405020304" charset="0"/>
          <a:cs typeface="Times New Roman" panose="02020603050405020304" charset="0"/>
        </a:defRPr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547834898149488"/>
          <c:y val="0.0721652599180498"/>
          <c:w val="0.916929316514348"/>
          <c:h val="0.7764276385921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Sheet1!$W$40</c:f>
              <c:strCache>
                <c:ptCount val="1"/>
                <c:pt idx="0">
                  <c:v>Мъже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0.00397713118254045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0.0039771311825406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0.00397713118254046"/>
                  <c:y val="0.0032012801087325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Sheet1!$V$41:$V$50</c:f>
              <c:numCache>
                <c:formatCode>General</c:formatCode>
                <c:ptCount val="10"/>
                <c:pt idx="0">
                  <c:v>1934</c:v>
                </c:pt>
                <c:pt idx="1">
                  <c:v>1946</c:v>
                </c:pt>
                <c:pt idx="2">
                  <c:v>1956</c:v>
                </c:pt>
                <c:pt idx="3">
                  <c:v>1965</c:v>
                </c:pt>
                <c:pt idx="4">
                  <c:v>1975</c:v>
                </c:pt>
                <c:pt idx="5">
                  <c:v>1985</c:v>
                </c:pt>
                <c:pt idx="6">
                  <c:v>1992</c:v>
                </c:pt>
                <c:pt idx="7">
                  <c:v>2001</c:v>
                </c:pt>
                <c:pt idx="8">
                  <c:v>2011</c:v>
                </c:pt>
                <c:pt idx="9">
                  <c:v>2021</c:v>
                </c:pt>
              </c:numCache>
            </c:numRef>
          </c:cat>
          <c:val>
            <c:numRef>
              <c:f>Sheet1!$W$41:$W$50</c:f>
              <c:numCache>
                <c:formatCode>0.0</c:formatCode>
                <c:ptCount val="10"/>
                <c:pt idx="0">
                  <c:v>1.1159223070757</c:v>
                </c:pt>
                <c:pt idx="1">
                  <c:v>1.45724275184046</c:v>
                </c:pt>
                <c:pt idx="2">
                  <c:v>2.60236670591249</c:v>
                </c:pt>
                <c:pt idx="3">
                  <c:v>3.38054322922813</c:v>
                </c:pt>
                <c:pt idx="4">
                  <c:v>5.15122791447529</c:v>
                </c:pt>
                <c:pt idx="5">
                  <c:v>7.13475027598719</c:v>
                </c:pt>
                <c:pt idx="6">
                  <c:v>8.6356887882152</c:v>
                </c:pt>
                <c:pt idx="7">
                  <c:v>9.24468206308631</c:v>
                </c:pt>
                <c:pt idx="8">
                  <c:v>16.6575138578312</c:v>
                </c:pt>
                <c:pt idx="9">
                  <c:v>21.4609925975245</c:v>
                </c:pt>
              </c:numCache>
            </c:numRef>
          </c:val>
        </c:ser>
        <c:ser>
          <c:idx val="1"/>
          <c:order val="1"/>
          <c:tx>
            <c:strRef>
              <c:f>Sheet1!$X$40</c:f>
              <c:strCache>
                <c:ptCount val="1"/>
                <c:pt idx="0">
                  <c:v>Жени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00795426236508091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119313935476213"/>
                  <c:y val="0.0032012801087326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00596569677381069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00596569677381069"/>
                  <c:y val="-1.1737891468229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.00198856559127016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.00596569677381069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.0119313935476214"/>
                  <c:y val="-1.1737891468229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.00198856559127023"/>
                  <c:y val="-0.0032012801087327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Sheet1!$V$41:$V$50</c:f>
              <c:numCache>
                <c:formatCode>General</c:formatCode>
                <c:ptCount val="10"/>
                <c:pt idx="0">
                  <c:v>1934</c:v>
                </c:pt>
                <c:pt idx="1">
                  <c:v>1946</c:v>
                </c:pt>
                <c:pt idx="2">
                  <c:v>1956</c:v>
                </c:pt>
                <c:pt idx="3">
                  <c:v>1965</c:v>
                </c:pt>
                <c:pt idx="4">
                  <c:v>1975</c:v>
                </c:pt>
                <c:pt idx="5">
                  <c:v>1985</c:v>
                </c:pt>
                <c:pt idx="6">
                  <c:v>1992</c:v>
                </c:pt>
                <c:pt idx="7">
                  <c:v>2001</c:v>
                </c:pt>
                <c:pt idx="8">
                  <c:v>2011</c:v>
                </c:pt>
                <c:pt idx="9">
                  <c:v>2021</c:v>
                </c:pt>
              </c:numCache>
            </c:numRef>
          </c:cat>
          <c:val>
            <c:numRef>
              <c:f>Sheet1!$X$41:$X$50</c:f>
              <c:numCache>
                <c:formatCode>0.0</c:formatCode>
                <c:ptCount val="10"/>
                <c:pt idx="0">
                  <c:v>0.221275835972642</c:v>
                </c:pt>
                <c:pt idx="1">
                  <c:v>0.384571839699647</c:v>
                </c:pt>
                <c:pt idx="2">
                  <c:v>0.872152464445982</c:v>
                </c:pt>
                <c:pt idx="3">
                  <c:v>1.43311454994731</c:v>
                </c:pt>
                <c:pt idx="4">
                  <c:v>3.00433141957108</c:v>
                </c:pt>
                <c:pt idx="5">
                  <c:v>5.31326960184347</c:v>
                </c:pt>
                <c:pt idx="6">
                  <c:v>7.29281998578235</c:v>
                </c:pt>
                <c:pt idx="7">
                  <c:v>9.98745537258588</c:v>
                </c:pt>
                <c:pt idx="8">
                  <c:v>22.3157600422329</c:v>
                </c:pt>
                <c:pt idx="9">
                  <c:v>29.27178763134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1523161423"/>
        <c:axId val="1523168911"/>
      </c:barChart>
      <c:catAx>
        <c:axId val="152316142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en-US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038706568044252"/>
              <c:y val="0.015157683210899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1523168911"/>
        <c:crosses val="autoZero"/>
        <c:auto val="1"/>
        <c:lblAlgn val="ctr"/>
        <c:lblOffset val="100"/>
        <c:noMultiLvlLbl val="0"/>
      </c:catAx>
      <c:valAx>
        <c:axId val="15231689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15231614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2197116339508"/>
          <c:y val="0.919330919274272"/>
          <c:w val="0.316366776299179"/>
          <c:h val="0.05853294348167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en-US" sz="900">
          <a:latin typeface="Times New Roman" panose="02020603050405020304" charset="0"/>
          <a:cs typeface="Times New Roman" panose="02020603050405020304" charset="0"/>
        </a:defRPr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637146443651065"/>
          <c:y val="0.0726329343378665"/>
          <c:w val="0.91351102851274"/>
          <c:h val="0.7945411189012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Sheet2!$O$6</c:f>
              <c:strCache>
                <c:ptCount val="1"/>
                <c:pt idx="0">
                  <c:v>относителен дял на неграмотните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Sheet2!$N$7:$N$21</c:f>
              <c:numCache>
                <c:formatCode>General</c:formatCode>
                <c:ptCount val="15"/>
                <c:pt idx="0">
                  <c:v>1893</c:v>
                </c:pt>
                <c:pt idx="1">
                  <c:v>1900</c:v>
                </c:pt>
                <c:pt idx="2">
                  <c:v>1905</c:v>
                </c:pt>
                <c:pt idx="3">
                  <c:v>1910</c:v>
                </c:pt>
                <c:pt idx="4">
                  <c:v>1920</c:v>
                </c:pt>
                <c:pt idx="5">
                  <c:v>1926</c:v>
                </c:pt>
                <c:pt idx="6">
                  <c:v>1934</c:v>
                </c:pt>
                <c:pt idx="7">
                  <c:v>1946</c:v>
                </c:pt>
                <c:pt idx="8">
                  <c:v>1956</c:v>
                </c:pt>
                <c:pt idx="9">
                  <c:v>1965</c:v>
                </c:pt>
                <c:pt idx="10">
                  <c:v>1975</c:v>
                </c:pt>
                <c:pt idx="11">
                  <c:v>1992</c:v>
                </c:pt>
                <c:pt idx="12">
                  <c:v>2001</c:v>
                </c:pt>
                <c:pt idx="13">
                  <c:v>2011</c:v>
                </c:pt>
                <c:pt idx="14">
                  <c:v>2021</c:v>
                </c:pt>
              </c:numCache>
            </c:numRef>
          </c:cat>
          <c:val>
            <c:numRef>
              <c:f>Sheet2!$O$7:$O$21</c:f>
              <c:numCache>
                <c:formatCode>0.0</c:formatCode>
                <c:ptCount val="15"/>
                <c:pt idx="0">
                  <c:v>80.1180144795782</c:v>
                </c:pt>
                <c:pt idx="1">
                  <c:v>69.9961307622398</c:v>
                </c:pt>
                <c:pt idx="2">
                  <c:v>64.9926571514546</c:v>
                </c:pt>
                <c:pt idx="3">
                  <c:v>57.8321757488701</c:v>
                </c:pt>
                <c:pt idx="4">
                  <c:v>46.2472234987995</c:v>
                </c:pt>
                <c:pt idx="5">
                  <c:v>39.6558092423458</c:v>
                </c:pt>
                <c:pt idx="6">
                  <c:v>31.5817689372696</c:v>
                </c:pt>
                <c:pt idx="7">
                  <c:v>22.9849889648976</c:v>
                </c:pt>
                <c:pt idx="8">
                  <c:v>13.088145160086</c:v>
                </c:pt>
                <c:pt idx="9">
                  <c:v>8.6416529441334</c:v>
                </c:pt>
                <c:pt idx="10">
                  <c:v>5.22526740883134</c:v>
                </c:pt>
                <c:pt idx="11">
                  <c:v>1.96354788345572</c:v>
                </c:pt>
                <c:pt idx="12">
                  <c:v>1.82372948067599</c:v>
                </c:pt>
                <c:pt idx="13">
                  <c:v>1.66675115354142</c:v>
                </c:pt>
                <c:pt idx="14">
                  <c:v>1.27977937427484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27"/>
        <c:axId val="998486064"/>
        <c:axId val="998487312"/>
      </c:barChart>
      <c:catAx>
        <c:axId val="9984860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bg-BG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0294038245219348"/>
              <c:y val="0.00318201426623034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998487312"/>
        <c:crosses val="autoZero"/>
        <c:auto val="1"/>
        <c:lblAlgn val="ctr"/>
        <c:lblOffset val="100"/>
        <c:noMultiLvlLbl val="0"/>
      </c:catAx>
      <c:valAx>
        <c:axId val="998487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998486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en-US" sz="900">
          <a:latin typeface="Times New Roman" panose="02020603050405020304" charset="0"/>
          <a:cs typeface="Times New Roman" panose="02020603050405020304" charset="0"/>
        </a:defRPr>
      </a:pPr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237989588318"/>
          <c:y val="0.109756097560976"/>
          <c:w val="0.848154174098403"/>
          <c:h val="0.8162672044043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'по години на преброявания'!$P$102:$P$103</c:f>
              <c:strCache>
                <c:ptCount val="1"/>
                <c:pt idx="0">
                  <c:v>икономически активни лица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5400000" spcFirstLastPara="1" vertOverflow="ellipsis" vert="horz" wrap="square" lIns="38100" tIns="19050" rIns="38100" bIns="19050" anchor="ctr" anchorCtr="1"/>
              <a:lstStyle/>
              <a:p>
                <a:pPr>
                  <a:defRPr lang="en-US" sz="800" b="1" i="0" u="none" strike="noStrike" kern="1200" baseline="0">
                    <a:solidFill>
                      <a:schemeClr val="bg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'по години на преброявания'!$O$104:$O$115</c:f>
              <c:numCache>
                <c:formatCode>General</c:formatCode>
                <c:ptCount val="12"/>
                <c:pt idx="0">
                  <c:v>1920</c:v>
                </c:pt>
                <c:pt idx="1">
                  <c:v>1926</c:v>
                </c:pt>
                <c:pt idx="2">
                  <c:v>1934</c:v>
                </c:pt>
                <c:pt idx="3">
                  <c:v>1946</c:v>
                </c:pt>
                <c:pt idx="4">
                  <c:v>1956</c:v>
                </c:pt>
                <c:pt idx="5">
                  <c:v>1965</c:v>
                </c:pt>
                <c:pt idx="6">
                  <c:v>1975</c:v>
                </c:pt>
                <c:pt idx="7">
                  <c:v>1985</c:v>
                </c:pt>
                <c:pt idx="8">
                  <c:v>1992</c:v>
                </c:pt>
                <c:pt idx="9">
                  <c:v>2001</c:v>
                </c:pt>
                <c:pt idx="10">
                  <c:v>2011</c:v>
                </c:pt>
                <c:pt idx="11">
                  <c:v>2021</c:v>
                </c:pt>
              </c:numCache>
            </c:numRef>
          </c:cat>
          <c:val>
            <c:numRef>
              <c:f>'по години на преброявания'!$P$104:$P$115</c:f>
              <c:numCache>
                <c:formatCode>#,##0</c:formatCode>
                <c:ptCount val="12"/>
                <c:pt idx="0">
                  <c:v>2571500</c:v>
                </c:pt>
                <c:pt idx="1">
                  <c:v>3016484</c:v>
                </c:pt>
                <c:pt idx="2">
                  <c:v>3346105</c:v>
                </c:pt>
                <c:pt idx="3">
                  <c:v>4034730</c:v>
                </c:pt>
                <c:pt idx="4">
                  <c:v>4150207</c:v>
                </c:pt>
                <c:pt idx="5">
                  <c:v>4267798</c:v>
                </c:pt>
                <c:pt idx="6">
                  <c:v>4447784</c:v>
                </c:pt>
                <c:pt idx="7">
                  <c:v>4686140</c:v>
                </c:pt>
                <c:pt idx="8">
                  <c:v>3932468</c:v>
                </c:pt>
                <c:pt idx="9">
                  <c:v>3854993</c:v>
                </c:pt>
                <c:pt idx="10">
                  <c:v>3329683</c:v>
                </c:pt>
                <c:pt idx="11">
                  <c:v>2953937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3"/>
        <c:overlap val="-27"/>
        <c:axId val="1287619311"/>
        <c:axId val="1287622639"/>
      </c:barChart>
      <c:catAx>
        <c:axId val="128761931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bg-BG"/>
                  <a:t>Брой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0843698128894109"/>
              <c:y val="0.015426669227322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1287622639"/>
        <c:crosses val="autoZero"/>
        <c:auto val="1"/>
        <c:lblAlgn val="ctr"/>
        <c:lblOffset val="100"/>
        <c:noMultiLvlLbl val="0"/>
      </c:catAx>
      <c:valAx>
        <c:axId val="1287622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128761931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en-US" sz="900">
          <a:latin typeface="Times New Roman" panose="02020603050405020304" charset="0"/>
          <a:cs typeface="Times New Roman" panose="02020603050405020304" charset="0"/>
        </a:defRPr>
      </a:pPr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0914244165425268"/>
          <c:y val="0.0909990657947418"/>
          <c:w val="0.906489633426694"/>
          <c:h val="0.7267126178960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'по години на преброявания'!$A$140</c:f>
              <c:strCache>
                <c:ptCount val="1"/>
                <c:pt idx="0">
                  <c:v>Мъже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'по години на преброявания'!$B$139:$M$139</c:f>
              <c:numCache>
                <c:formatCode>General</c:formatCode>
                <c:ptCount val="12"/>
                <c:pt idx="0">
                  <c:v>1920</c:v>
                </c:pt>
                <c:pt idx="1">
                  <c:v>1926</c:v>
                </c:pt>
                <c:pt idx="2">
                  <c:v>1934</c:v>
                </c:pt>
                <c:pt idx="3">
                  <c:v>1946</c:v>
                </c:pt>
                <c:pt idx="4">
                  <c:v>1956</c:v>
                </c:pt>
                <c:pt idx="5">
                  <c:v>1965</c:v>
                </c:pt>
                <c:pt idx="6">
                  <c:v>1975</c:v>
                </c:pt>
                <c:pt idx="7">
                  <c:v>1985</c:v>
                </c:pt>
                <c:pt idx="8">
                  <c:v>1992</c:v>
                </c:pt>
                <c:pt idx="9">
                  <c:v>2001</c:v>
                </c:pt>
                <c:pt idx="10">
                  <c:v>2011</c:v>
                </c:pt>
                <c:pt idx="11">
                  <c:v>2021</c:v>
                </c:pt>
              </c:numCache>
            </c:numRef>
          </c:cat>
          <c:val>
            <c:numRef>
              <c:f>'по години на преброявания'!$B$140:$M$140</c:f>
              <c:numCache>
                <c:formatCode>0.0</c:formatCode>
                <c:ptCount val="12"/>
                <c:pt idx="0">
                  <c:v>57.6789172433393</c:v>
                </c:pt>
                <c:pt idx="1">
                  <c:v>59.7325580335579</c:v>
                </c:pt>
                <c:pt idx="2">
                  <c:v>60.3017198048524</c:v>
                </c:pt>
                <c:pt idx="3">
                  <c:v>63.531037251754</c:v>
                </c:pt>
                <c:pt idx="4">
                  <c:v>63.3092555685753</c:v>
                </c:pt>
                <c:pt idx="5">
                  <c:v>58.0840301329528</c:v>
                </c:pt>
                <c:pt idx="6">
                  <c:v>54.2865010486895</c:v>
                </c:pt>
                <c:pt idx="7">
                  <c:v>55.2899621997328</c:v>
                </c:pt>
                <c:pt idx="8">
                  <c:v>48.6784225470445</c:v>
                </c:pt>
                <c:pt idx="9">
                  <c:v>53.1612843093724</c:v>
                </c:pt>
                <c:pt idx="10">
                  <c:v>48.8832648231417</c:v>
                </c:pt>
                <c:pt idx="11">
                  <c:v>48.5154301522003</c:v>
                </c:pt>
              </c:numCache>
            </c:numRef>
          </c:val>
        </c:ser>
        <c:ser>
          <c:idx val="1"/>
          <c:order val="1"/>
          <c:tx>
            <c:strRef>
              <c:f>'по години на преброявания'!$A$141</c:f>
              <c:strCache>
                <c:ptCount val="1"/>
                <c:pt idx="0">
                  <c:v>Жени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'по години на преброявания'!$B$139:$M$139</c:f>
              <c:numCache>
                <c:formatCode>General</c:formatCode>
                <c:ptCount val="12"/>
                <c:pt idx="0">
                  <c:v>1920</c:v>
                </c:pt>
                <c:pt idx="1">
                  <c:v>1926</c:v>
                </c:pt>
                <c:pt idx="2">
                  <c:v>1934</c:v>
                </c:pt>
                <c:pt idx="3">
                  <c:v>1946</c:v>
                </c:pt>
                <c:pt idx="4">
                  <c:v>1956</c:v>
                </c:pt>
                <c:pt idx="5">
                  <c:v>1965</c:v>
                </c:pt>
                <c:pt idx="6">
                  <c:v>1975</c:v>
                </c:pt>
                <c:pt idx="7">
                  <c:v>1985</c:v>
                </c:pt>
                <c:pt idx="8">
                  <c:v>1992</c:v>
                </c:pt>
                <c:pt idx="9">
                  <c:v>2001</c:v>
                </c:pt>
                <c:pt idx="10">
                  <c:v>2011</c:v>
                </c:pt>
                <c:pt idx="11">
                  <c:v>2021</c:v>
                </c:pt>
              </c:numCache>
            </c:numRef>
          </c:cat>
          <c:val>
            <c:numRef>
              <c:f>'по години на преброявания'!$B$141:$M$141</c:f>
              <c:numCache>
                <c:formatCode>0.0</c:formatCode>
                <c:ptCount val="12"/>
                <c:pt idx="0">
                  <c:v>48.4388878515959</c:v>
                </c:pt>
                <c:pt idx="1">
                  <c:v>50.370908383765</c:v>
                </c:pt>
                <c:pt idx="2">
                  <c:v>49.7530460846164</c:v>
                </c:pt>
                <c:pt idx="3">
                  <c:v>51.2583218863654</c:v>
                </c:pt>
                <c:pt idx="4">
                  <c:v>45.7446649536632</c:v>
                </c:pt>
                <c:pt idx="5">
                  <c:v>45.6553578664846</c:v>
                </c:pt>
                <c:pt idx="6">
                  <c:v>47.6452939632504</c:v>
                </c:pt>
                <c:pt idx="7">
                  <c:v>49.4971704278763</c:v>
                </c:pt>
                <c:pt idx="8">
                  <c:v>44.0678574696614</c:v>
                </c:pt>
                <c:pt idx="9">
                  <c:v>44.3055540527381</c:v>
                </c:pt>
                <c:pt idx="10">
                  <c:v>41.7271153327463</c:v>
                </c:pt>
                <c:pt idx="11">
                  <c:v>42.3335176577577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27"/>
        <c:axId val="1058104527"/>
        <c:axId val="1281077647"/>
      </c:barChart>
      <c:catAx>
        <c:axId val="105810452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bg-BG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0496970177385545"/>
              <c:y val="0.0074179303254748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281077647"/>
        <c:crosses val="autoZero"/>
        <c:auto val="1"/>
        <c:lblAlgn val="ctr"/>
        <c:lblOffset val="100"/>
        <c:noMultiLvlLbl val="0"/>
      </c:catAx>
      <c:valAx>
        <c:axId val="12810776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0581045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534710845708"/>
          <c:y val="0.909495081660787"/>
          <c:w val="0.351949173583032"/>
          <c:h val="0.06676604593565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en-US"/>
      </a:pPr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0722984362870134"/>
          <c:y val="0.0760760520911298"/>
          <c:w val="0.901879967468855"/>
          <c:h val="0.739445984741912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'заети15-64'!$D$191</c:f>
              <c:strCache>
                <c:ptCount val="1"/>
                <c:pt idx="0">
                  <c:v>В градовете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'заети15-64'!$B$192:$B$196</c:f>
              <c:strCache>
                <c:ptCount val="5"/>
                <c:pt idx="0">
                  <c:v>15 - 24</c:v>
                </c:pt>
                <c:pt idx="1">
                  <c:v>25 - 34</c:v>
                </c:pt>
                <c:pt idx="2">
                  <c:v>35 - 44</c:v>
                </c:pt>
                <c:pt idx="3">
                  <c:v>45 - 54</c:v>
                </c:pt>
                <c:pt idx="4">
                  <c:v>55 - 64</c:v>
                </c:pt>
              </c:strCache>
            </c:strRef>
          </c:cat>
          <c:val>
            <c:numRef>
              <c:f>'заети15-64'!$D$192:$D$196</c:f>
              <c:numCache>
                <c:formatCode>0.0</c:formatCode>
                <c:ptCount val="5"/>
                <c:pt idx="0">
                  <c:v>28.3300740394812</c:v>
                </c:pt>
                <c:pt idx="1">
                  <c:v>75.6641911598901</c:v>
                </c:pt>
                <c:pt idx="2">
                  <c:v>78.194995457085</c:v>
                </c:pt>
                <c:pt idx="3">
                  <c:v>77.6108940271675</c:v>
                </c:pt>
                <c:pt idx="4">
                  <c:v>60.7565926815368</c:v>
                </c:pt>
              </c:numCache>
            </c:numRef>
          </c:val>
        </c:ser>
        <c:ser>
          <c:idx val="2"/>
          <c:order val="2"/>
          <c:tx>
            <c:strRef>
              <c:f>'заети15-64'!$E$191</c:f>
              <c:strCache>
                <c:ptCount val="1"/>
                <c:pt idx="0">
                  <c:v>В селата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800" b="1" i="0" u="none" strike="noStrike" kern="1200" baseline="0">
                    <a:solidFill>
                      <a:schemeClr val="bg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'заети15-64'!$B$192:$B$196</c:f>
              <c:strCache>
                <c:ptCount val="5"/>
                <c:pt idx="0">
                  <c:v>15 - 24</c:v>
                </c:pt>
                <c:pt idx="1">
                  <c:v>25 - 34</c:v>
                </c:pt>
                <c:pt idx="2">
                  <c:v>35 - 44</c:v>
                </c:pt>
                <c:pt idx="3">
                  <c:v>45 - 54</c:v>
                </c:pt>
                <c:pt idx="4">
                  <c:v>55 - 64</c:v>
                </c:pt>
              </c:strCache>
            </c:strRef>
          </c:cat>
          <c:val>
            <c:numRef>
              <c:f>'заети15-64'!$E$192:$E$196</c:f>
              <c:numCache>
                <c:formatCode>0.0</c:formatCode>
                <c:ptCount val="5"/>
                <c:pt idx="0">
                  <c:v>20.941393696792</c:v>
                </c:pt>
                <c:pt idx="1">
                  <c:v>54.8206566330717</c:v>
                </c:pt>
                <c:pt idx="2">
                  <c:v>59.3252889445356</c:v>
                </c:pt>
                <c:pt idx="3">
                  <c:v>59.5800979276918</c:v>
                </c:pt>
                <c:pt idx="4">
                  <c:v>42.7111401225057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overlap val="-27"/>
        <c:axId val="1433808447"/>
        <c:axId val="1433810943"/>
      </c:barChart>
      <c:lineChart>
        <c:grouping val="standard"/>
        <c:varyColors val="0"/>
        <c:ser>
          <c:idx val="0"/>
          <c:order val="0"/>
          <c:tx>
            <c:strRef>
              <c:f>'заети15-64'!$C$191</c:f>
              <c:strCache>
                <c:ptCount val="1"/>
                <c:pt idx="0">
                  <c:v>Общо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4.30354965904901e-17"/>
                  <c:y val="-0.05245901639344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-0.03934426229508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'заети15-64'!$B$192:$B$196</c:f>
              <c:strCache>
                <c:ptCount val="5"/>
                <c:pt idx="0">
                  <c:v>15 - 24</c:v>
                </c:pt>
                <c:pt idx="1">
                  <c:v>25 - 34</c:v>
                </c:pt>
                <c:pt idx="2">
                  <c:v>35 - 44</c:v>
                </c:pt>
                <c:pt idx="3">
                  <c:v>45 - 54</c:v>
                </c:pt>
                <c:pt idx="4">
                  <c:v>55 - 64</c:v>
                </c:pt>
              </c:strCache>
            </c:strRef>
          </c:cat>
          <c:val>
            <c:numRef>
              <c:f>'заети15-64'!$C$192:$C$196</c:f>
              <c:numCache>
                <c:formatCode>0.0</c:formatCode>
                <c:ptCount val="5"/>
                <c:pt idx="0">
                  <c:v>26.4342854249694</c:v>
                </c:pt>
                <c:pt idx="1">
                  <c:v>70.8312037163237</c:v>
                </c:pt>
                <c:pt idx="2">
                  <c:v>74.0346894806476</c:v>
                </c:pt>
                <c:pt idx="3">
                  <c:v>73.1604470817307</c:v>
                </c:pt>
                <c:pt idx="4">
                  <c:v>55.5868078055484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33808447"/>
        <c:axId val="1433810943"/>
      </c:lineChart>
      <c:catAx>
        <c:axId val="143380844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bg-BG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0505074018525462"/>
              <c:y val="0.0016019076046866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1433810943"/>
        <c:crosses val="autoZero"/>
        <c:auto val="1"/>
        <c:lblAlgn val="ctr"/>
        <c:lblOffset val="100"/>
        <c:noMultiLvlLbl val="0"/>
      </c:catAx>
      <c:valAx>
        <c:axId val="14338109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14338084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6964807215999"/>
          <c:y val="0.899999483671098"/>
          <c:w val="0.540154892610255"/>
          <c:h val="0.07377100813218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en-US">
          <a:latin typeface="Times New Roman" panose="02020603050405020304" charset="0"/>
          <a:cs typeface="Times New Roman" panose="02020603050405020304" charset="0"/>
        </a:defRPr>
      </a:pPr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82666879477903"/>
          <c:y val="0.0213049237859688"/>
          <c:w val="0.480722848833085"/>
          <c:h val="0.8986713220627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'заети15-64'!$I$249</c:f>
              <c:strCache>
                <c:ptCount val="1"/>
                <c:pt idx="0">
                  <c:v>Мъже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800" b="1" i="0" u="none" strike="noStrike" kern="1200" baseline="0">
                    <a:solidFill>
                      <a:schemeClr val="bg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'заети15-64'!$H$250:$H$270</c:f>
              <c:strCache>
                <c:ptCount val="21"/>
                <c:pt idx="0">
                  <c:v>Дейности на екстериториални организации и служби</c:v>
                </c:pt>
                <c:pt idx="1">
                  <c:v>Дейности на домакинства като работодатели</c:v>
                </c:pt>
                <c:pt idx="2">
                  <c:v>Други дейности</c:v>
                </c:pt>
                <c:pt idx="3">
                  <c:v>Култура, спорт и развлечения</c:v>
                </c:pt>
                <c:pt idx="4">
                  <c:v>Хуманно здравеопазване и социална работа</c:v>
                </c:pt>
                <c:pt idx="5">
                  <c:v>Образование</c:v>
                </c:pt>
                <c:pt idx="6">
                  <c:v>Държавно управление</c:v>
                </c:pt>
                <c:pt idx="7">
                  <c:v>Административни и спомагателни дейности</c:v>
                </c:pt>
                <c:pt idx="8">
                  <c:v>Професионални дейности и научни изследвания</c:v>
                </c:pt>
                <c:pt idx="9">
                  <c:v>Операции с недвижими имоти</c:v>
                </c:pt>
                <c:pt idx="10">
                  <c:v>Финансови и застрахователни дейности</c:v>
                </c:pt>
                <c:pt idx="11">
                  <c:v>Създаване и разпространение на информация и
творчески продукти; далекосъобщения</c:v>
                </c:pt>
                <c:pt idx="12">
                  <c:v>Хотелиерство и ресторантьорство</c:v>
                </c:pt>
                <c:pt idx="13">
                  <c:v>Транспорт, складиране и пощи</c:v>
                </c:pt>
                <c:pt idx="14">
                  <c:v>Търговия; ремонт на автомобили и мотоциклети</c:v>
                </c:pt>
                <c:pt idx="15">
                  <c:v>Строителство</c:v>
                </c:pt>
                <c:pt idx="16">
                  <c:v>Доставяне на води; канализационни услуги, управление на отпадъци и възстановяване</c:v>
                </c:pt>
                <c:pt idx="17">
                  <c:v>Производство и разпределение на електрическа и топлинна енергия и на газообразни горива</c:v>
                </c:pt>
                <c:pt idx="18">
                  <c:v>Преработваща промишленост</c:v>
                </c:pt>
                <c:pt idx="19">
                  <c:v>Добивна промишленост</c:v>
                </c:pt>
                <c:pt idx="20">
                  <c:v>Селско, горско и рибно стопанство</c:v>
                </c:pt>
              </c:strCache>
            </c:strRef>
          </c:cat>
          <c:val>
            <c:numRef>
              <c:f>'заети15-64'!$I$250:$I$270</c:f>
              <c:numCache>
                <c:formatCode>0.0</c:formatCode>
                <c:ptCount val="21"/>
                <c:pt idx="0">
                  <c:v>47.0363288718929</c:v>
                </c:pt>
                <c:pt idx="1">
                  <c:v>16.9550173010381</c:v>
                </c:pt>
                <c:pt idx="2">
                  <c:v>32.8475314332791</c:v>
                </c:pt>
                <c:pt idx="3">
                  <c:v>47.5809347904161</c:v>
                </c:pt>
                <c:pt idx="4">
                  <c:v>21.6694277881218</c:v>
                </c:pt>
                <c:pt idx="5">
                  <c:v>17.9719435154218</c:v>
                </c:pt>
                <c:pt idx="6">
                  <c:v>48.3195878841915</c:v>
                </c:pt>
                <c:pt idx="7">
                  <c:v>60.030522938923</c:v>
                </c:pt>
                <c:pt idx="8">
                  <c:v>39.517804424682</c:v>
                </c:pt>
                <c:pt idx="9">
                  <c:v>46.9904783495806</c:v>
                </c:pt>
                <c:pt idx="10">
                  <c:v>30.5239103964772</c:v>
                </c:pt>
                <c:pt idx="11">
                  <c:v>60.4974146404</c:v>
                </c:pt>
                <c:pt idx="12">
                  <c:v>40.2052889265444</c:v>
                </c:pt>
                <c:pt idx="13">
                  <c:v>76.5754177385918</c:v>
                </c:pt>
                <c:pt idx="14">
                  <c:v>46.5193378094899</c:v>
                </c:pt>
                <c:pt idx="15">
                  <c:v>87.4802542619201</c:v>
                </c:pt>
                <c:pt idx="16">
                  <c:v>66.7420382165605</c:v>
                </c:pt>
                <c:pt idx="17">
                  <c:v>74.9128800819952</c:v>
                </c:pt>
                <c:pt idx="18">
                  <c:v>52.7141915919822</c:v>
                </c:pt>
                <c:pt idx="19">
                  <c:v>82.5587501641066</c:v>
                </c:pt>
                <c:pt idx="20">
                  <c:v>69.4986320611327</c:v>
                </c:pt>
              </c:numCache>
            </c:numRef>
          </c:val>
        </c:ser>
        <c:ser>
          <c:idx val="1"/>
          <c:order val="1"/>
          <c:tx>
            <c:strRef>
              <c:f>'заети15-64'!$J$249</c:f>
              <c:strCache>
                <c:ptCount val="1"/>
                <c:pt idx="0">
                  <c:v>Жени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/>
              <a:lstStyle/>
              <a:p>
                <a:pPr>
                  <a:defRPr lang="en-US"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'заети15-64'!$H$250:$H$270</c:f>
              <c:strCache>
                <c:ptCount val="21"/>
                <c:pt idx="0">
                  <c:v>Дейности на екстериториални организации и служби</c:v>
                </c:pt>
                <c:pt idx="1">
                  <c:v>Дейности на домакинства като работодатели</c:v>
                </c:pt>
                <c:pt idx="2">
                  <c:v>Други дейности</c:v>
                </c:pt>
                <c:pt idx="3">
                  <c:v>Култура, спорт и развлечения</c:v>
                </c:pt>
                <c:pt idx="4">
                  <c:v>Хуманно здравеопазване и социална работа</c:v>
                </c:pt>
                <c:pt idx="5">
                  <c:v>Образование</c:v>
                </c:pt>
                <c:pt idx="6">
                  <c:v>Държавно управление</c:v>
                </c:pt>
                <c:pt idx="7">
                  <c:v>Административни и спомагателни дейности</c:v>
                </c:pt>
                <c:pt idx="8">
                  <c:v>Професионални дейности и научни изследвания</c:v>
                </c:pt>
                <c:pt idx="9">
                  <c:v>Операции с недвижими имоти</c:v>
                </c:pt>
                <c:pt idx="10">
                  <c:v>Финансови и застрахователни дейности</c:v>
                </c:pt>
                <c:pt idx="11">
                  <c:v>Създаване и разпространение на информация и
творчески продукти; далекосъобщения</c:v>
                </c:pt>
                <c:pt idx="12">
                  <c:v>Хотелиерство и ресторантьорство</c:v>
                </c:pt>
                <c:pt idx="13">
                  <c:v>Транспорт, складиране и пощи</c:v>
                </c:pt>
                <c:pt idx="14">
                  <c:v>Търговия; ремонт на автомобили и мотоциклети</c:v>
                </c:pt>
                <c:pt idx="15">
                  <c:v>Строителство</c:v>
                </c:pt>
                <c:pt idx="16">
                  <c:v>Доставяне на води; канализационни услуги, управление на отпадъци и възстановяване</c:v>
                </c:pt>
                <c:pt idx="17">
                  <c:v>Производство и разпределение на електрическа и топлинна енергия и на газообразни горива</c:v>
                </c:pt>
                <c:pt idx="18">
                  <c:v>Преработваща промишленост</c:v>
                </c:pt>
                <c:pt idx="19">
                  <c:v>Добивна промишленост</c:v>
                </c:pt>
                <c:pt idx="20">
                  <c:v>Селско, горско и рибно стопанство</c:v>
                </c:pt>
              </c:strCache>
            </c:strRef>
          </c:cat>
          <c:val>
            <c:numRef>
              <c:f>'заети15-64'!$J$250:$J$270</c:f>
              <c:numCache>
                <c:formatCode>0.0</c:formatCode>
                <c:ptCount val="21"/>
                <c:pt idx="0">
                  <c:v>52.9636711281071</c:v>
                </c:pt>
                <c:pt idx="1">
                  <c:v>83.0449826989619</c:v>
                </c:pt>
                <c:pt idx="2">
                  <c:v>67.1524685667209</c:v>
                </c:pt>
                <c:pt idx="3">
                  <c:v>52.4190652095839</c:v>
                </c:pt>
                <c:pt idx="4">
                  <c:v>78.3305722118782</c:v>
                </c:pt>
                <c:pt idx="5">
                  <c:v>82.0280564845782</c:v>
                </c:pt>
                <c:pt idx="6">
                  <c:v>51.6804121158085</c:v>
                </c:pt>
                <c:pt idx="7">
                  <c:v>39.969477061077</c:v>
                </c:pt>
                <c:pt idx="8">
                  <c:v>60.482195575318</c:v>
                </c:pt>
                <c:pt idx="9">
                  <c:v>53.0095216504194</c:v>
                </c:pt>
                <c:pt idx="10">
                  <c:v>69.4760896035228</c:v>
                </c:pt>
                <c:pt idx="11">
                  <c:v>39.5025853596</c:v>
                </c:pt>
                <c:pt idx="12">
                  <c:v>59.7947110734556</c:v>
                </c:pt>
                <c:pt idx="13">
                  <c:v>23.4245822614082</c:v>
                </c:pt>
                <c:pt idx="14">
                  <c:v>53.4806621905101</c:v>
                </c:pt>
                <c:pt idx="15">
                  <c:v>12.5197457380799</c:v>
                </c:pt>
                <c:pt idx="16">
                  <c:v>33.2579617834395</c:v>
                </c:pt>
                <c:pt idx="17">
                  <c:v>25.0871199180048</c:v>
                </c:pt>
                <c:pt idx="18">
                  <c:v>47.2858084080178</c:v>
                </c:pt>
                <c:pt idx="19">
                  <c:v>17.4412498358934</c:v>
                </c:pt>
                <c:pt idx="20">
                  <c:v>30.5013679388673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0"/>
        <c:overlap val="100"/>
        <c:axId val="1065349359"/>
        <c:axId val="1065347695"/>
      </c:barChart>
      <c:catAx>
        <c:axId val="106534935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r"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1065347695"/>
        <c:crosses val="autoZero"/>
        <c:auto val="1"/>
        <c:lblAlgn val="ctr"/>
        <c:lblOffset val="100"/>
        <c:noMultiLvlLbl val="0"/>
      </c:catAx>
      <c:valAx>
        <c:axId val="106534769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10653493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9416049325195"/>
          <c:y val="0.956114881323288"/>
          <c:w val="0.428151081706503"/>
          <c:h val="0.03237432730980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en-US" sz="900">
          <a:latin typeface="Times New Roman" panose="02020603050405020304" charset="0"/>
          <a:cs typeface="Times New Roman" panose="02020603050405020304" charset="0"/>
        </a:defRPr>
      </a:pPr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'заети15-64'!$I$230</c:f>
              <c:strCache>
                <c:ptCount val="1"/>
                <c:pt idx="0">
                  <c:v>Мъже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800" b="1" i="0" u="none" strike="noStrike" kern="1200" baseline="0">
                    <a:solidFill>
                      <a:schemeClr val="bg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'заети15-64'!$H$231:$H$240</c:f>
              <c:strCache>
                <c:ptCount val="10"/>
                <c:pt idx="0">
                  <c:v>Професии, неизискващи специална квалификация</c:v>
                </c:pt>
                <c:pt idx="1">
                  <c:v>Машинни оператори и монтажници</c:v>
                </c:pt>
                <c:pt idx="2">
                  <c:v>Квалифицирани работници и сродни на тях занаятчии</c:v>
                </c:pt>
                <c:pt idx="3">
                  <c:v>Квалифицирани работници в селското, горското, ловното и рибното стопанство</c:v>
                </c:pt>
                <c:pt idx="4">
                  <c:v>Персонал, зает с услуги за населението, търговията и охраната</c:v>
                </c:pt>
                <c:pt idx="5">
                  <c:v>Помощен административен  персонал</c:v>
                </c:pt>
                <c:pt idx="6">
                  <c:v>Техници и приложни специалисти</c:v>
                </c:pt>
                <c:pt idx="7">
                  <c:v>Специалисти</c:v>
                </c:pt>
                <c:pt idx="8">
                  <c:v>Ръководители</c:v>
                </c:pt>
                <c:pt idx="9">
                  <c:v>Професии във въоръжените сили</c:v>
                </c:pt>
              </c:strCache>
            </c:strRef>
          </c:cat>
          <c:val>
            <c:numRef>
              <c:f>'заети15-64'!$I$231:$I$240</c:f>
              <c:numCache>
                <c:formatCode>0.0</c:formatCode>
                <c:ptCount val="10"/>
                <c:pt idx="0">
                  <c:v>58.1539211240533</c:v>
                </c:pt>
                <c:pt idx="1">
                  <c:v>77.4878667794648</c:v>
                </c:pt>
                <c:pt idx="2">
                  <c:v>74.282914699065</c:v>
                </c:pt>
                <c:pt idx="3">
                  <c:v>66.5262188860957</c:v>
                </c:pt>
                <c:pt idx="4">
                  <c:v>35.435044278222</c:v>
                </c:pt>
                <c:pt idx="5">
                  <c:v>30.7634548157872</c:v>
                </c:pt>
                <c:pt idx="6">
                  <c:v>49.6988085846633</c:v>
                </c:pt>
                <c:pt idx="7">
                  <c:v>36.2154470694093</c:v>
                </c:pt>
                <c:pt idx="8">
                  <c:v>59.6340959954805</c:v>
                </c:pt>
                <c:pt idx="9">
                  <c:v>82.2338090010977</c:v>
                </c:pt>
              </c:numCache>
            </c:numRef>
          </c:val>
        </c:ser>
        <c:ser>
          <c:idx val="1"/>
          <c:order val="1"/>
          <c:tx>
            <c:strRef>
              <c:f>'заети15-64'!$J$230</c:f>
              <c:strCache>
                <c:ptCount val="1"/>
                <c:pt idx="0">
                  <c:v>Жени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'заети15-64'!$H$231:$H$240</c:f>
              <c:strCache>
                <c:ptCount val="10"/>
                <c:pt idx="0">
                  <c:v>Професии, неизискващи специална квалификация</c:v>
                </c:pt>
                <c:pt idx="1">
                  <c:v>Машинни оператори и монтажници</c:v>
                </c:pt>
                <c:pt idx="2">
                  <c:v>Квалифицирани работници и сродни на тях занаятчии</c:v>
                </c:pt>
                <c:pt idx="3">
                  <c:v>Квалифицирани работници в селското, горското, ловното и рибното стопанство</c:v>
                </c:pt>
                <c:pt idx="4">
                  <c:v>Персонал, зает с услуги за населението, търговията и охраната</c:v>
                </c:pt>
                <c:pt idx="5">
                  <c:v>Помощен административен  персонал</c:v>
                </c:pt>
                <c:pt idx="6">
                  <c:v>Техници и приложни специалисти</c:v>
                </c:pt>
                <c:pt idx="7">
                  <c:v>Специалисти</c:v>
                </c:pt>
                <c:pt idx="8">
                  <c:v>Ръководители</c:v>
                </c:pt>
                <c:pt idx="9">
                  <c:v>Професии във въоръжените сили</c:v>
                </c:pt>
              </c:strCache>
            </c:strRef>
          </c:cat>
          <c:val>
            <c:numRef>
              <c:f>'заети15-64'!$J$231:$J$240</c:f>
              <c:numCache>
                <c:formatCode>0.0</c:formatCode>
                <c:ptCount val="10"/>
                <c:pt idx="0">
                  <c:v>41.8460788759467</c:v>
                </c:pt>
                <c:pt idx="1">
                  <c:v>22.5121332205352</c:v>
                </c:pt>
                <c:pt idx="2">
                  <c:v>25.717085300935</c:v>
                </c:pt>
                <c:pt idx="3">
                  <c:v>33.4737811139043</c:v>
                </c:pt>
                <c:pt idx="4">
                  <c:v>64.564955721778</c:v>
                </c:pt>
                <c:pt idx="5">
                  <c:v>69.2365451842127</c:v>
                </c:pt>
                <c:pt idx="6">
                  <c:v>50.3011914153367</c:v>
                </c:pt>
                <c:pt idx="7">
                  <c:v>63.7845529305907</c:v>
                </c:pt>
                <c:pt idx="8">
                  <c:v>40.3659040045195</c:v>
                </c:pt>
                <c:pt idx="9">
                  <c:v>17.7661909989023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8"/>
        <c:overlap val="100"/>
        <c:axId val="1290746031"/>
        <c:axId val="1290745199"/>
      </c:barChart>
      <c:catAx>
        <c:axId val="129074603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r"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1290745199"/>
        <c:crossesAt val="0"/>
        <c:auto val="1"/>
        <c:lblAlgn val="ctr"/>
        <c:lblOffset val="100"/>
        <c:noMultiLvlLbl val="0"/>
      </c:catAx>
      <c:valAx>
        <c:axId val="1290745199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1290746031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5196557679361"/>
          <c:y val="0.925628046494188"/>
          <c:w val="0.344476773117115"/>
          <c:h val="0.05396379024050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en-US" sz="900">
          <a:latin typeface="Times New Roman" panose="02020603050405020304" charset="0"/>
          <a:cs typeface="Times New Roman" panose="02020603050405020304" charset="0"/>
        </a:defRPr>
      </a:pPr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0705742224699789"/>
          <c:y val="0.0804232804232804"/>
          <c:w val="0.903467075465124"/>
          <c:h val="0.7347004957713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'заети15-64'!$P$332</c:f>
              <c:strCache>
                <c:ptCount val="1"/>
                <c:pt idx="0">
                  <c:v>В градовете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700" b="1" i="0" u="none" strike="noStrike" kern="1200" baseline="0">
                    <a:solidFill>
                      <a:schemeClr val="bg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'заети15-64'!$O$333:$O$342</c:f>
              <c:strCache>
                <c:ptCount val="10"/>
                <c:pt idx="0">
                  <c:v>15 - 19</c:v>
                </c:pt>
                <c:pt idx="1">
                  <c:v>20 - 24</c:v>
                </c:pt>
                <c:pt idx="2">
                  <c:v>25 - 29</c:v>
                </c:pt>
                <c:pt idx="3">
                  <c:v>30 - 34</c:v>
                </c:pt>
                <c:pt idx="4">
                  <c:v>35 - 39</c:v>
                </c:pt>
                <c:pt idx="5">
                  <c:v>40 - 44</c:v>
                </c:pt>
                <c:pt idx="6">
                  <c:v>45 - 49</c:v>
                </c:pt>
                <c:pt idx="7">
                  <c:v>50 - 54</c:v>
                </c:pt>
                <c:pt idx="8">
                  <c:v>55 - 59</c:v>
                </c:pt>
                <c:pt idx="9">
                  <c:v>60 - 64</c:v>
                </c:pt>
              </c:strCache>
            </c:strRef>
          </c:cat>
          <c:val>
            <c:numRef>
              <c:f>'заети15-64'!$P$333:$P$342</c:f>
              <c:numCache>
                <c:formatCode>0.0</c:formatCode>
                <c:ptCount val="10"/>
                <c:pt idx="0">
                  <c:v>29.093786778134</c:v>
                </c:pt>
                <c:pt idx="1">
                  <c:v>15.160292391146</c:v>
                </c:pt>
                <c:pt idx="2">
                  <c:v>9.18328595299581</c:v>
                </c:pt>
                <c:pt idx="3">
                  <c:v>7.85985461496575</c:v>
                </c:pt>
                <c:pt idx="4">
                  <c:v>7.57295084550494</c:v>
                </c:pt>
                <c:pt idx="5">
                  <c:v>7.19101770180279</c:v>
                </c:pt>
                <c:pt idx="6">
                  <c:v>6.78096165580833</c:v>
                </c:pt>
                <c:pt idx="7">
                  <c:v>6.66899884420025</c:v>
                </c:pt>
                <c:pt idx="8">
                  <c:v>6.69093158818732</c:v>
                </c:pt>
                <c:pt idx="9">
                  <c:v>6.15059340907169</c:v>
                </c:pt>
              </c:numCache>
            </c:numRef>
          </c:val>
        </c:ser>
        <c:ser>
          <c:idx val="1"/>
          <c:order val="1"/>
          <c:tx>
            <c:strRef>
              <c:f>'заети15-64'!$Q$332</c:f>
              <c:strCache>
                <c:ptCount val="1"/>
                <c:pt idx="0">
                  <c:v>В селата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7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'заети15-64'!$O$333:$O$342</c:f>
              <c:strCache>
                <c:ptCount val="10"/>
                <c:pt idx="0">
                  <c:v>15 - 19</c:v>
                </c:pt>
                <c:pt idx="1">
                  <c:v>20 - 24</c:v>
                </c:pt>
                <c:pt idx="2">
                  <c:v>25 - 29</c:v>
                </c:pt>
                <c:pt idx="3">
                  <c:v>30 - 34</c:v>
                </c:pt>
                <c:pt idx="4">
                  <c:v>35 - 39</c:v>
                </c:pt>
                <c:pt idx="5">
                  <c:v>40 - 44</c:v>
                </c:pt>
                <c:pt idx="6">
                  <c:v>45 - 49</c:v>
                </c:pt>
                <c:pt idx="7">
                  <c:v>50 - 54</c:v>
                </c:pt>
                <c:pt idx="8">
                  <c:v>55 - 59</c:v>
                </c:pt>
                <c:pt idx="9">
                  <c:v>60 - 64</c:v>
                </c:pt>
              </c:strCache>
            </c:strRef>
          </c:cat>
          <c:val>
            <c:numRef>
              <c:f>'заети15-64'!$Q$333:$Q$342</c:f>
              <c:numCache>
                <c:formatCode>0.0</c:formatCode>
                <c:ptCount val="10"/>
                <c:pt idx="0">
                  <c:v>53.73560289471</c:v>
                </c:pt>
                <c:pt idx="1">
                  <c:v>28.8853737077001</c:v>
                </c:pt>
                <c:pt idx="2">
                  <c:v>21.716741677817</c:v>
                </c:pt>
                <c:pt idx="3">
                  <c:v>19.6686913307565</c:v>
                </c:pt>
                <c:pt idx="4">
                  <c:v>18.4455760848828</c:v>
                </c:pt>
                <c:pt idx="5">
                  <c:v>17.0587388236526</c:v>
                </c:pt>
                <c:pt idx="6">
                  <c:v>15.8452463071763</c:v>
                </c:pt>
                <c:pt idx="7">
                  <c:v>15.3545293969215</c:v>
                </c:pt>
                <c:pt idx="8">
                  <c:v>15.1582370215394</c:v>
                </c:pt>
                <c:pt idx="9">
                  <c:v>15.2274559052314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9"/>
        <c:overlap val="-27"/>
        <c:axId val="1439575199"/>
        <c:axId val="1439578111"/>
      </c:barChart>
      <c:lineChart>
        <c:grouping val="standard"/>
        <c:varyColors val="0"/>
        <c:ser>
          <c:idx val="2"/>
          <c:order val="2"/>
          <c:tx>
            <c:strRef>
              <c:f>'заети15-64'!$R$332</c:f>
              <c:strCache>
                <c:ptCount val="1"/>
                <c:pt idx="0">
                  <c:v>Общо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'заети15-64'!$O$333:$O$342</c:f>
              <c:strCache>
                <c:ptCount val="10"/>
                <c:pt idx="0">
                  <c:v>15 - 19</c:v>
                </c:pt>
                <c:pt idx="1">
                  <c:v>20 - 24</c:v>
                </c:pt>
                <c:pt idx="2">
                  <c:v>25 - 29</c:v>
                </c:pt>
                <c:pt idx="3">
                  <c:v>30 - 34</c:v>
                </c:pt>
                <c:pt idx="4">
                  <c:v>35 - 39</c:v>
                </c:pt>
                <c:pt idx="5">
                  <c:v>40 - 44</c:v>
                </c:pt>
                <c:pt idx="6">
                  <c:v>45 - 49</c:v>
                </c:pt>
                <c:pt idx="7">
                  <c:v>50 - 54</c:v>
                </c:pt>
                <c:pt idx="8">
                  <c:v>55 - 59</c:v>
                </c:pt>
                <c:pt idx="9">
                  <c:v>60 - 64</c:v>
                </c:pt>
              </c:strCache>
            </c:strRef>
          </c:cat>
          <c:val>
            <c:numRef>
              <c:f>'заети15-64'!$R$333:$R$342</c:f>
              <c:numCache>
                <c:formatCode>0.0</c:formatCode>
                <c:ptCount val="10"/>
                <c:pt idx="0">
                  <c:v>36.1111111111111</c:v>
                </c:pt>
                <c:pt idx="1">
                  <c:v>18.3549755087281</c:v>
                </c:pt>
                <c:pt idx="2">
                  <c:v>11.8292317569013</c:v>
                </c:pt>
                <c:pt idx="3">
                  <c:v>10.1558905269357</c:v>
                </c:pt>
                <c:pt idx="4">
                  <c:v>9.66752424302395</c:v>
                </c:pt>
                <c:pt idx="5">
                  <c:v>9.12786305635924</c:v>
                </c:pt>
                <c:pt idx="6">
                  <c:v>8.64638098315074</c:v>
                </c:pt>
                <c:pt idx="7">
                  <c:v>8.66830887186839</c:v>
                </c:pt>
                <c:pt idx="8">
                  <c:v>8.73753282439027</c:v>
                </c:pt>
                <c:pt idx="9">
                  <c:v>8.24953622635621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1439575199"/>
        <c:axId val="1439578111"/>
      </c:lineChart>
      <c:catAx>
        <c:axId val="143957519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en-US"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bg-BG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054762083943047"/>
              <c:y val="0.018559346748323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1439578111"/>
        <c:crosses val="autoZero"/>
        <c:auto val="1"/>
        <c:lblAlgn val="ctr"/>
        <c:lblOffset val="100"/>
        <c:noMultiLvlLbl val="0"/>
      </c:catAx>
      <c:valAx>
        <c:axId val="14395781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14395751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6335539915918"/>
          <c:y val="0.898771507728201"/>
          <c:w val="0.467328734350684"/>
          <c:h val="0.07345071449402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en-US" sz="900">
          <a:latin typeface="Times New Roman" panose="02020603050405020304" charset="0"/>
          <a:cs typeface="Times New Roman" panose="02020603050405020304" charset="0"/>
        </a:defRPr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6CA34-5516-4D36-9152-F65211BC969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3292</Words>
  <Characters>18771</Characters>
  <Lines>156</Lines>
  <Paragraphs>44</Paragraphs>
  <TotalTime>5</TotalTime>
  <ScaleCrop>false</ScaleCrop>
  <LinksUpToDate>false</LinksUpToDate>
  <CharactersWithSpaces>22019</CharactersWithSpaces>
  <Application>WPS Office_11.2.0.11380_F1E327BC-269C-435d-A152-05C5408002CA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2022-10-31T08:22:00Z</dcterms:created>
  <dc:creator>Magdalena Kostova</dc:creator>
  <cp:lastModifiedBy>desk</cp:lastModifiedBy>
  <cp:lastPrinted>2022-09-30T13:33:00Z</cp:lastPrinted>
  <dcterms:modified xsi:type="dcterms:W3CDTF">2022-10-31T13:04:18Z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1033-11.2.0.11380</vt:lpwstr>
  </property>
  <property fmtid="{D5CDD505-2E9C-101B-9397-08002B2CF9AE}" pid="3" name="ICV">
    <vt:lpwstr>94F192F0838848118CFD1BB7503CB2B1</vt:lpwstr>
  </property>
</Properties>
</file>