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30" w:rsidRPr="006F7F36" w:rsidRDefault="00424330" w:rsidP="0042433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F36">
        <w:rPr>
          <w:rFonts w:ascii="Times New Roman" w:eastAsia="Times New Roman" w:hAnsi="Times New Roman" w:cs="Times New Roman"/>
          <w:sz w:val="24"/>
          <w:szCs w:val="24"/>
        </w:rPr>
        <w:t>МИНИСТЕРСТВО НА ФИНАНСИТЕ</w:t>
      </w:r>
    </w:p>
    <w:p w:rsidR="00424330" w:rsidRPr="006F7F36" w:rsidRDefault="00424330" w:rsidP="0042433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F7F36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ДИРЕКЦИЯ "ВРЪЗКИ С </w:t>
      </w:r>
      <w:r w:rsidRPr="006F7F36">
        <w:rPr>
          <w:rFonts w:ascii="Times New Roman" w:eastAsia="Times New Roman" w:hAnsi="Times New Roman" w:cs="Times New Roman"/>
          <w:b/>
          <w:caps/>
          <w:sz w:val="24"/>
          <w:szCs w:val="24"/>
        </w:rPr>
        <w:t>ОБЩЕСТВЕНОСТТА И ПРОТОКОЛ</w:t>
      </w:r>
      <w:r w:rsidRPr="006F7F36">
        <w:rPr>
          <w:rFonts w:ascii="Times New Roman" w:eastAsia="Times New Roman" w:hAnsi="Times New Roman" w:cs="Times New Roman"/>
          <w:caps/>
          <w:sz w:val="24"/>
          <w:szCs w:val="24"/>
        </w:rPr>
        <w:t>"</w:t>
      </w:r>
    </w:p>
    <w:p w:rsidR="00424330" w:rsidRPr="006F7F36" w:rsidRDefault="00424330" w:rsidP="00424330">
      <w:pPr>
        <w:keepNext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F7F36">
        <w:rPr>
          <w:rFonts w:ascii="Times New Roman" w:eastAsia="Times New Roman" w:hAnsi="Times New Roman" w:cs="Times New Roman"/>
          <w:sz w:val="24"/>
          <w:szCs w:val="24"/>
        </w:rPr>
        <w:t xml:space="preserve">      1040</w:t>
      </w:r>
      <w:r w:rsidR="00481D8A" w:rsidRPr="006F7F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F7F36">
        <w:rPr>
          <w:rFonts w:ascii="Times New Roman" w:eastAsia="Times New Roman" w:hAnsi="Times New Roman" w:cs="Times New Roman"/>
          <w:sz w:val="24"/>
          <w:szCs w:val="24"/>
        </w:rPr>
        <w:t>София</w:t>
      </w:r>
      <w:r w:rsidRPr="006F7F36">
        <w:rPr>
          <w:rFonts w:ascii="Times New Roman" w:eastAsia="Times New Roman" w:hAnsi="Times New Roman" w:cs="Times New Roman"/>
          <w:sz w:val="24"/>
          <w:szCs w:val="24"/>
        </w:rPr>
        <w:tab/>
      </w:r>
      <w:r w:rsidRPr="006F7F36">
        <w:rPr>
          <w:rFonts w:ascii="Times New Roman" w:eastAsia="Times New Roman" w:hAnsi="Times New Roman" w:cs="Times New Roman"/>
          <w:sz w:val="24"/>
          <w:szCs w:val="24"/>
        </w:rPr>
        <w:tab/>
      </w:r>
      <w:r w:rsidRPr="006F7F36">
        <w:rPr>
          <w:rFonts w:ascii="Times New Roman" w:eastAsia="Times New Roman" w:hAnsi="Times New Roman" w:cs="Times New Roman"/>
          <w:sz w:val="24"/>
          <w:szCs w:val="24"/>
        </w:rPr>
        <w:tab/>
      </w:r>
      <w:r w:rsidRPr="006F7F36">
        <w:rPr>
          <w:rFonts w:ascii="Times New Roman" w:eastAsia="Times New Roman" w:hAnsi="Times New Roman" w:cs="Times New Roman"/>
          <w:sz w:val="24"/>
          <w:szCs w:val="24"/>
        </w:rPr>
        <w:tab/>
      </w:r>
      <w:r w:rsidRPr="006F7F36">
        <w:rPr>
          <w:rFonts w:ascii="Times New Roman" w:eastAsia="Times New Roman" w:hAnsi="Times New Roman" w:cs="Times New Roman"/>
          <w:sz w:val="24"/>
          <w:szCs w:val="24"/>
        </w:rPr>
        <w:tab/>
      </w:r>
      <w:r w:rsidRPr="006F7F36">
        <w:rPr>
          <w:rFonts w:ascii="Times New Roman" w:eastAsia="Times New Roman" w:hAnsi="Times New Roman" w:cs="Times New Roman"/>
          <w:sz w:val="24"/>
          <w:szCs w:val="24"/>
        </w:rPr>
        <w:tab/>
      </w:r>
      <w:r w:rsidRPr="006F7F36">
        <w:rPr>
          <w:rFonts w:ascii="Times New Roman" w:eastAsia="Times New Roman" w:hAnsi="Times New Roman" w:cs="Times New Roman"/>
          <w:sz w:val="24"/>
          <w:szCs w:val="24"/>
        </w:rPr>
        <w:tab/>
        <w:t>тел.: 9859 20 2</w:t>
      </w:r>
      <w:r w:rsidR="00DB571C" w:rsidRPr="006F7F3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24330" w:rsidRPr="006F7F36" w:rsidRDefault="00424330" w:rsidP="0042433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7F36">
        <w:rPr>
          <w:rFonts w:ascii="Times New Roman" w:eastAsia="Times New Roman" w:hAnsi="Times New Roman" w:cs="Times New Roman"/>
          <w:sz w:val="24"/>
          <w:szCs w:val="24"/>
        </w:rPr>
        <w:t xml:space="preserve">      ул. „Г.С. Раковски” № 102</w:t>
      </w:r>
      <w:r w:rsidR="00481D8A" w:rsidRPr="006F7F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481D8A" w:rsidRPr="006F7F3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81D8A" w:rsidRPr="006F7F3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81D8A" w:rsidRPr="006F7F3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81D8A" w:rsidRPr="006F7F3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81D8A" w:rsidRPr="006F7F3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81D8A" w:rsidRPr="006F7F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hyperlink r:id="rId5" w:history="1">
        <w:r w:rsidR="00481D8A" w:rsidRPr="006F7F3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press-office@minfin.bg</w:t>
        </w:r>
      </w:hyperlink>
      <w:r w:rsidR="00481D8A" w:rsidRPr="006F7F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24330" w:rsidRPr="006F7F36" w:rsidRDefault="00424330" w:rsidP="00481D8A">
      <w:pPr>
        <w:spacing w:after="0" w:line="240" w:lineRule="auto"/>
        <w:ind w:left="360" w:firstLine="5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F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24330" w:rsidRPr="006F7F36" w:rsidRDefault="00424330" w:rsidP="0042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F2D" w:rsidRPr="006F7F36" w:rsidRDefault="00D37F2D" w:rsidP="00D37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bookmarkStart w:id="1" w:name="OLE_LINK4"/>
      <w:r w:rsidRPr="006F7F36">
        <w:rPr>
          <w:rFonts w:ascii="Times New Roman" w:hAnsi="Times New Roman" w:cs="Times New Roman"/>
          <w:b/>
          <w:sz w:val="24"/>
          <w:szCs w:val="24"/>
        </w:rPr>
        <w:t>П</w:t>
      </w:r>
      <w:r w:rsidR="009F410D" w:rsidRPr="006F7F36">
        <w:rPr>
          <w:rFonts w:ascii="Times New Roman" w:hAnsi="Times New Roman" w:cs="Times New Roman"/>
          <w:b/>
          <w:sz w:val="24"/>
          <w:szCs w:val="24"/>
        </w:rPr>
        <w:t>убликувани са предложения за промени в данъчни закони</w:t>
      </w:r>
    </w:p>
    <w:p w:rsidR="00424330" w:rsidRPr="006F7F36" w:rsidRDefault="00D37F2D" w:rsidP="00D37F2D">
      <w:pPr>
        <w:shd w:val="pct10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7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10D" w:rsidRPr="006F7F36">
        <w:rPr>
          <w:rFonts w:ascii="Times New Roman" w:eastAsia="Times New Roman" w:hAnsi="Times New Roman" w:cs="Times New Roman"/>
          <w:sz w:val="24"/>
          <w:szCs w:val="24"/>
        </w:rPr>
        <w:t>27</w:t>
      </w:r>
      <w:r w:rsidR="00424330" w:rsidRPr="006F7F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410D" w:rsidRPr="006F7F36">
        <w:rPr>
          <w:rFonts w:ascii="Times New Roman" w:eastAsia="Times New Roman" w:hAnsi="Times New Roman" w:cs="Times New Roman"/>
          <w:sz w:val="24"/>
          <w:szCs w:val="24"/>
        </w:rPr>
        <w:t>03.2023</w:t>
      </w:r>
      <w:r w:rsidR="00424330" w:rsidRPr="006F7F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410D" w:rsidRPr="006F7F36">
        <w:rPr>
          <w:rFonts w:ascii="Times New Roman" w:eastAsia="Times New Roman" w:hAnsi="Times New Roman" w:cs="Times New Roman"/>
          <w:sz w:val="24"/>
          <w:szCs w:val="24"/>
        </w:rPr>
        <w:t>пе</w:t>
      </w:r>
      <w:r w:rsidR="00D7747F" w:rsidRPr="006F7F36">
        <w:rPr>
          <w:rFonts w:ascii="Times New Roman" w:eastAsia="Times New Roman" w:hAnsi="Times New Roman" w:cs="Times New Roman"/>
          <w:sz w:val="24"/>
          <w:szCs w:val="24"/>
        </w:rPr>
        <w:t>тък</w:t>
      </w:r>
    </w:p>
    <w:bookmarkEnd w:id="0"/>
    <w:bookmarkEnd w:id="1"/>
    <w:p w:rsidR="00424330" w:rsidRPr="006F7F36" w:rsidRDefault="00424330" w:rsidP="00DD03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6C0" w:rsidRDefault="009F410D" w:rsidP="00093742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F7F36">
        <w:rPr>
          <w:rFonts w:ascii="Times New Roman" w:hAnsi="Times New Roman"/>
          <w:sz w:val="24"/>
          <w:szCs w:val="24"/>
        </w:rPr>
        <w:t>Във връзка с прието протоколно решение на МС за съставяне на проекта на Закон за държавния бюджет за 2023 г. с дефицит от 3 % и анонсираните от министъра на финансите Росица Велкова приходни мерки</w:t>
      </w:r>
      <w:r w:rsidR="006F7F36">
        <w:rPr>
          <w:rFonts w:ascii="Times New Roman" w:hAnsi="Times New Roman"/>
          <w:sz w:val="24"/>
          <w:szCs w:val="24"/>
        </w:rPr>
        <w:t xml:space="preserve"> за постигане на целевия размер на бюджетното салдо</w:t>
      </w:r>
      <w:r w:rsidRPr="006F7F36">
        <w:rPr>
          <w:rFonts w:ascii="Times New Roman" w:hAnsi="Times New Roman"/>
          <w:sz w:val="24"/>
          <w:szCs w:val="24"/>
        </w:rPr>
        <w:t xml:space="preserve">, Министерството на финансите публикува за обществено обсъждане </w:t>
      </w:r>
      <w:hyperlink r:id="rId6" w:history="1">
        <w:r w:rsidRPr="00697C86">
          <w:rPr>
            <w:rStyle w:val="Hyperlink"/>
            <w:rFonts w:ascii="Times New Roman" w:hAnsi="Times New Roman"/>
            <w:sz w:val="24"/>
            <w:szCs w:val="24"/>
          </w:rPr>
          <w:t>проект на Закон за изменение и допълнение на Данъчно-осигурителния процесуален кодекс</w:t>
        </w:r>
      </w:hyperlink>
      <w:r w:rsidR="006F7F36" w:rsidRPr="006F7F36">
        <w:rPr>
          <w:rFonts w:ascii="Times New Roman" w:hAnsi="Times New Roman"/>
          <w:sz w:val="24"/>
          <w:szCs w:val="24"/>
        </w:rPr>
        <w:t>. Предлагат се мерки в областта на фискалния контрол на стоки с висок фискален риск,</w:t>
      </w:r>
      <w:r w:rsidR="006F7F36" w:rsidRPr="006F7F36">
        <w:rPr>
          <w:rFonts w:ascii="Times New Roman" w:eastAsia="Times New Roman" w:hAnsi="Times New Roman"/>
          <w:bCs/>
          <w:sz w:val="24"/>
          <w:szCs w:val="24"/>
        </w:rPr>
        <w:t xml:space="preserve"> които имат за цел по-ефективна превенция и противодействие срещу </w:t>
      </w:r>
      <w:r w:rsidR="006F7F36" w:rsidRPr="006F7F36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данъчните </w:t>
      </w:r>
      <w:r w:rsidR="006F7F36" w:rsidRPr="006F7F36">
        <w:rPr>
          <w:rFonts w:ascii="Times New Roman" w:eastAsia="Times New Roman" w:hAnsi="Times New Roman"/>
          <w:bCs/>
          <w:sz w:val="24"/>
          <w:szCs w:val="24"/>
        </w:rPr>
        <w:t>измами и укриването и невнасянето на данъци</w:t>
      </w:r>
      <w:r w:rsidR="00BE2542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9679D8">
        <w:rPr>
          <w:rFonts w:ascii="Times New Roman" w:eastAsia="Times New Roman" w:hAnsi="Times New Roman"/>
          <w:bCs/>
          <w:sz w:val="24"/>
          <w:szCs w:val="24"/>
        </w:rPr>
        <w:t>В</w:t>
      </w:r>
      <w:r w:rsidR="006F7F36" w:rsidRPr="006F7F36">
        <w:rPr>
          <w:rFonts w:ascii="Times New Roman" w:eastAsia="Times New Roman" w:hAnsi="Times New Roman"/>
          <w:bCs/>
          <w:sz w:val="24"/>
          <w:szCs w:val="24"/>
        </w:rPr>
        <w:t>ъвежда</w:t>
      </w:r>
      <w:r w:rsidR="009679D8">
        <w:rPr>
          <w:rFonts w:ascii="Times New Roman" w:eastAsia="Times New Roman" w:hAnsi="Times New Roman"/>
          <w:bCs/>
          <w:sz w:val="24"/>
          <w:szCs w:val="24"/>
        </w:rPr>
        <w:t xml:space="preserve"> се</w:t>
      </w:r>
      <w:r w:rsidR="006F7F36" w:rsidRPr="006F7F36">
        <w:rPr>
          <w:rFonts w:ascii="Times New Roman" w:eastAsia="Times New Roman" w:hAnsi="Times New Roman"/>
          <w:bCs/>
          <w:sz w:val="24"/>
          <w:szCs w:val="24"/>
        </w:rPr>
        <w:t xml:space="preserve"> задължително предварително деклариране на данни за превозите на стоки на тер</w:t>
      </w:r>
      <w:r w:rsidR="000D6E64">
        <w:rPr>
          <w:rFonts w:ascii="Times New Roman" w:eastAsia="Times New Roman" w:hAnsi="Times New Roman"/>
          <w:bCs/>
          <w:sz w:val="24"/>
          <w:szCs w:val="24"/>
        </w:rPr>
        <w:t xml:space="preserve">иторията на Република България </w:t>
      </w:r>
      <w:r w:rsidR="005076C0" w:rsidRPr="006F7F36">
        <w:rPr>
          <w:rFonts w:ascii="Times New Roman" w:eastAsia="Times New Roman" w:hAnsi="Times New Roman"/>
          <w:bCs/>
          <w:sz w:val="24"/>
          <w:szCs w:val="24"/>
        </w:rPr>
        <w:t>на стоки с висок фискален риск, извършвани с транс</w:t>
      </w:r>
      <w:r w:rsidR="005076C0">
        <w:rPr>
          <w:rFonts w:ascii="Times New Roman" w:eastAsia="Times New Roman" w:hAnsi="Times New Roman"/>
          <w:bCs/>
          <w:sz w:val="24"/>
          <w:szCs w:val="24"/>
        </w:rPr>
        <w:t>портни средства над 3,5 тона.</w:t>
      </w:r>
      <w:r w:rsidR="008A260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9F410D" w:rsidRDefault="00093742" w:rsidP="00093742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8A2600">
        <w:rPr>
          <w:rFonts w:ascii="Times New Roman" w:hAnsi="Times New Roman"/>
          <w:bCs/>
          <w:sz w:val="24"/>
          <w:szCs w:val="24"/>
        </w:rPr>
        <w:t>Предлагат се и м</w:t>
      </w:r>
      <w:r w:rsidR="009F410D" w:rsidRPr="008A2600">
        <w:rPr>
          <w:rFonts w:ascii="Times New Roman" w:hAnsi="Times New Roman"/>
          <w:bCs/>
          <w:sz w:val="24"/>
          <w:szCs w:val="24"/>
        </w:rPr>
        <w:t>ерки относно условията и реда за разплащанията на разпо</w:t>
      </w:r>
      <w:r w:rsidR="008A2600">
        <w:rPr>
          <w:rFonts w:ascii="Times New Roman" w:hAnsi="Times New Roman"/>
          <w:bCs/>
          <w:sz w:val="24"/>
          <w:szCs w:val="24"/>
        </w:rPr>
        <w:t xml:space="preserve">редителите с бюджет по договори – </w:t>
      </w:r>
      <w:r w:rsidR="009F410D" w:rsidRPr="006F7F36">
        <w:rPr>
          <w:rFonts w:ascii="Times New Roman" w:hAnsi="Times New Roman"/>
          <w:sz w:val="24"/>
          <w:szCs w:val="24"/>
        </w:rPr>
        <w:t>въвеждане на режим за уведомяване на приходните агенции за предстоящи плащания от бюджета към данъчно задължени лица. Плащанията ще са по сключени договори на стойност над 10 000 лв., както и за предявени на задъл</w:t>
      </w:r>
      <w:r w:rsidR="008A2600">
        <w:rPr>
          <w:rFonts w:ascii="Times New Roman" w:hAnsi="Times New Roman"/>
          <w:sz w:val="24"/>
          <w:szCs w:val="24"/>
        </w:rPr>
        <w:t>жените лица изпълнителни лист</w:t>
      </w:r>
      <w:r w:rsidR="006B2E77">
        <w:rPr>
          <w:rFonts w:ascii="Times New Roman" w:hAnsi="Times New Roman"/>
          <w:sz w:val="24"/>
          <w:szCs w:val="24"/>
        </w:rPr>
        <w:t>ове</w:t>
      </w:r>
      <w:r w:rsidR="008A2600">
        <w:rPr>
          <w:rFonts w:ascii="Times New Roman" w:hAnsi="Times New Roman"/>
          <w:sz w:val="24"/>
          <w:szCs w:val="24"/>
        </w:rPr>
        <w:t xml:space="preserve"> з</w:t>
      </w:r>
      <w:r w:rsidR="009F410D" w:rsidRPr="006F7F36">
        <w:rPr>
          <w:rFonts w:ascii="Times New Roman" w:hAnsi="Times New Roman"/>
          <w:sz w:val="24"/>
          <w:szCs w:val="24"/>
        </w:rPr>
        <w:t>а над 1000</w:t>
      </w:r>
      <w:r w:rsidR="006B2E77">
        <w:rPr>
          <w:rFonts w:ascii="Times New Roman" w:hAnsi="Times New Roman"/>
          <w:sz w:val="24"/>
          <w:szCs w:val="24"/>
        </w:rPr>
        <w:t xml:space="preserve"> </w:t>
      </w:r>
      <w:r w:rsidR="009F410D" w:rsidRPr="006F7F36">
        <w:rPr>
          <w:rFonts w:ascii="Times New Roman" w:hAnsi="Times New Roman"/>
          <w:sz w:val="24"/>
          <w:szCs w:val="24"/>
        </w:rPr>
        <w:t>лв.</w:t>
      </w:r>
      <w:r w:rsidR="006B2E77">
        <w:rPr>
          <w:rFonts w:ascii="Times New Roman" w:hAnsi="Times New Roman"/>
          <w:sz w:val="24"/>
          <w:szCs w:val="24"/>
        </w:rPr>
        <w:t xml:space="preserve"> </w:t>
      </w:r>
      <w:r w:rsidR="009F410D" w:rsidRPr="006F7F36">
        <w:rPr>
          <w:rFonts w:ascii="Times New Roman" w:hAnsi="Times New Roman"/>
          <w:sz w:val="24"/>
          <w:szCs w:val="24"/>
        </w:rPr>
        <w:t>Този режим е законово развитие на постановките на Решение № 592</w:t>
      </w:r>
      <w:r w:rsidR="006B2E77">
        <w:rPr>
          <w:rFonts w:ascii="Times New Roman" w:hAnsi="Times New Roman"/>
          <w:sz w:val="24"/>
          <w:szCs w:val="24"/>
        </w:rPr>
        <w:t xml:space="preserve"> </w:t>
      </w:r>
      <w:r w:rsidR="009F410D" w:rsidRPr="006F7F36">
        <w:rPr>
          <w:rFonts w:ascii="Times New Roman" w:hAnsi="Times New Roman"/>
          <w:sz w:val="24"/>
          <w:szCs w:val="24"/>
        </w:rPr>
        <w:t>/</w:t>
      </w:r>
      <w:r w:rsidR="006B2E77">
        <w:rPr>
          <w:rFonts w:ascii="Times New Roman" w:hAnsi="Times New Roman"/>
          <w:sz w:val="24"/>
          <w:szCs w:val="24"/>
        </w:rPr>
        <w:t xml:space="preserve"> </w:t>
      </w:r>
      <w:r w:rsidR="009F410D" w:rsidRPr="006F7F36">
        <w:rPr>
          <w:rFonts w:ascii="Times New Roman" w:hAnsi="Times New Roman"/>
          <w:sz w:val="24"/>
          <w:szCs w:val="24"/>
        </w:rPr>
        <w:t>21.08.2018 г. на Министерския съвет за условията и реда за разплащанията на разпоредители с бюджет по договори</w:t>
      </w:r>
      <w:r w:rsidR="006B2E77">
        <w:rPr>
          <w:rFonts w:ascii="Times New Roman" w:hAnsi="Times New Roman"/>
          <w:sz w:val="24"/>
          <w:szCs w:val="24"/>
        </w:rPr>
        <w:t>, като се разширява и кръгът на задължените лица по това решение</w:t>
      </w:r>
      <w:r w:rsidR="009F410D" w:rsidRPr="006F7F36">
        <w:rPr>
          <w:rFonts w:ascii="Times New Roman" w:hAnsi="Times New Roman"/>
          <w:sz w:val="24"/>
          <w:szCs w:val="24"/>
        </w:rPr>
        <w:t xml:space="preserve">. Чрез него ще се въведе още един начин за информиране на публичните изпълнители за наличие на финансови средства в данъчно задължени лица. </w:t>
      </w:r>
      <w:r w:rsidR="00CF41AC">
        <w:rPr>
          <w:rFonts w:ascii="Times New Roman" w:hAnsi="Times New Roman"/>
          <w:sz w:val="24"/>
          <w:szCs w:val="24"/>
        </w:rPr>
        <w:t xml:space="preserve">Предлагат се и </w:t>
      </w:r>
      <w:r w:rsidR="009F410D" w:rsidRPr="006F7F36">
        <w:rPr>
          <w:rFonts w:ascii="Times New Roman" w:hAnsi="Times New Roman"/>
          <w:sz w:val="24"/>
          <w:szCs w:val="24"/>
        </w:rPr>
        <w:t>други изменения в разпоредби на ДОПК, обусловени от установени в практи</w:t>
      </w:r>
      <w:r w:rsidR="00E2556F">
        <w:rPr>
          <w:rFonts w:ascii="Times New Roman" w:hAnsi="Times New Roman"/>
          <w:sz w:val="24"/>
          <w:szCs w:val="24"/>
        </w:rPr>
        <w:t>ката несъвършенства и непълноти</w:t>
      </w:r>
      <w:r w:rsidR="009F410D" w:rsidRPr="006F7F36">
        <w:rPr>
          <w:rFonts w:ascii="Times New Roman" w:hAnsi="Times New Roman"/>
          <w:sz w:val="24"/>
          <w:szCs w:val="24"/>
        </w:rPr>
        <w:t>.</w:t>
      </w:r>
      <w:r w:rsidR="00CF41AC">
        <w:rPr>
          <w:rFonts w:ascii="Times New Roman" w:hAnsi="Times New Roman"/>
          <w:sz w:val="24"/>
          <w:szCs w:val="24"/>
        </w:rPr>
        <w:t xml:space="preserve"> </w:t>
      </w:r>
    </w:p>
    <w:p w:rsidR="009F410D" w:rsidRPr="006F7F36" w:rsidRDefault="00CF41AC" w:rsidP="00C92D99">
      <w:pPr>
        <w:tabs>
          <w:tab w:val="left" w:pos="1134"/>
        </w:tabs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F7F36">
        <w:rPr>
          <w:rFonts w:ascii="Times New Roman" w:hAnsi="Times New Roman"/>
          <w:color w:val="00000A"/>
          <w:sz w:val="24"/>
          <w:szCs w:val="24"/>
        </w:rPr>
        <w:t>В преходните и заключителни разпоредби на</w:t>
      </w:r>
      <w:r>
        <w:rPr>
          <w:rFonts w:ascii="Times New Roman" w:hAnsi="Times New Roman"/>
          <w:sz w:val="24"/>
          <w:szCs w:val="24"/>
        </w:rPr>
        <w:t xml:space="preserve"> законопроекта се предлагат </w:t>
      </w:r>
      <w:r w:rsidR="009F410D" w:rsidRPr="00CF41AC">
        <w:rPr>
          <w:rFonts w:ascii="Times New Roman" w:hAnsi="Times New Roman"/>
          <w:sz w:val="24"/>
          <w:szCs w:val="24"/>
        </w:rPr>
        <w:t>изменения и допълнения на Закона за корпоративното подоходно облагане</w:t>
      </w:r>
      <w:r>
        <w:rPr>
          <w:rFonts w:ascii="Times New Roman" w:hAnsi="Times New Roman"/>
          <w:sz w:val="24"/>
          <w:szCs w:val="24"/>
        </w:rPr>
        <w:t xml:space="preserve"> (ЗКПО),  </w:t>
      </w:r>
      <w:r w:rsidR="009F410D" w:rsidRPr="006F7F36">
        <w:rPr>
          <w:rFonts w:ascii="Times New Roman" w:hAnsi="Times New Roman"/>
          <w:color w:val="00000A"/>
          <w:sz w:val="24"/>
          <w:szCs w:val="24"/>
        </w:rPr>
        <w:t>с които</w:t>
      </w:r>
      <w:r w:rsidR="00F2333B">
        <w:rPr>
          <w:rFonts w:ascii="Times New Roman" w:hAnsi="Times New Roman"/>
          <w:color w:val="00000A"/>
          <w:sz w:val="24"/>
          <w:szCs w:val="24"/>
        </w:rPr>
        <w:t xml:space="preserve"> от 1 юли 2023 г.</w:t>
      </w:r>
      <w:r w:rsidR="009F410D" w:rsidRPr="006F7F36">
        <w:rPr>
          <w:rFonts w:ascii="Times New Roman" w:hAnsi="Times New Roman"/>
          <w:color w:val="00000A"/>
          <w:sz w:val="24"/>
          <w:szCs w:val="24"/>
        </w:rPr>
        <w:t xml:space="preserve"> да се въведе заплащането на солидарна вноска за свръхпечалбите, генерирани в периода от 1 юли 2023 г. до 31 декември 2023 г.</w:t>
      </w:r>
      <w:r>
        <w:rPr>
          <w:rFonts w:ascii="Times New Roman" w:hAnsi="Times New Roman"/>
          <w:color w:val="00000A"/>
          <w:sz w:val="24"/>
          <w:szCs w:val="24"/>
        </w:rPr>
        <w:t xml:space="preserve"> М</w:t>
      </w:r>
      <w:r w:rsidR="009F410D" w:rsidRPr="006F7F36">
        <w:rPr>
          <w:rFonts w:ascii="Times New Roman" w:hAnsi="Times New Roman"/>
          <w:color w:val="00000A"/>
          <w:sz w:val="24"/>
          <w:szCs w:val="24"/>
        </w:rPr>
        <w:t>ярка</w:t>
      </w:r>
      <w:r>
        <w:rPr>
          <w:rFonts w:ascii="Times New Roman" w:hAnsi="Times New Roman"/>
          <w:color w:val="00000A"/>
          <w:sz w:val="24"/>
          <w:szCs w:val="24"/>
        </w:rPr>
        <w:t>та</w:t>
      </w:r>
      <w:r w:rsidR="009F410D" w:rsidRPr="006F7F36">
        <w:rPr>
          <w:rFonts w:ascii="Times New Roman" w:hAnsi="Times New Roman"/>
          <w:color w:val="00000A"/>
          <w:sz w:val="24"/>
          <w:szCs w:val="24"/>
        </w:rPr>
        <w:t xml:space="preserve"> е</w:t>
      </w:r>
      <w:r>
        <w:rPr>
          <w:rFonts w:ascii="Times New Roman" w:hAnsi="Times New Roman"/>
          <w:color w:val="00000A"/>
          <w:sz w:val="24"/>
          <w:szCs w:val="24"/>
        </w:rPr>
        <w:t xml:space="preserve"> временна, еднократна и е</w:t>
      </w:r>
      <w:r w:rsidR="009F410D" w:rsidRPr="006F7F36">
        <w:rPr>
          <w:rFonts w:ascii="Times New Roman" w:hAnsi="Times New Roman"/>
          <w:color w:val="00000A"/>
          <w:sz w:val="24"/>
          <w:szCs w:val="24"/>
        </w:rPr>
        <w:t xml:space="preserve"> изготвена с цел гарантиране на обществения интерес чрез запазване </w:t>
      </w:r>
      <w:r w:rsidR="009F410D" w:rsidRPr="006F7F36">
        <w:rPr>
          <w:rFonts w:ascii="Times New Roman" w:eastAsia="Times New Roman" w:hAnsi="Times New Roman"/>
          <w:bCs/>
          <w:sz w:val="24"/>
          <w:szCs w:val="24"/>
        </w:rPr>
        <w:t>на макроикономическата и фискална стабилност на страната и за овладяване на инфлацията, породена от външни и вътрешни политически и икономически фактори.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97A00">
        <w:rPr>
          <w:rFonts w:ascii="Times New Roman" w:eastAsia="Times New Roman" w:hAnsi="Times New Roman"/>
          <w:bCs/>
          <w:sz w:val="24"/>
          <w:szCs w:val="24"/>
        </w:rPr>
        <w:t>Тя ще бъде валидна за</w:t>
      </w:r>
      <w:r w:rsidR="00D97A00" w:rsidRPr="00412A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97A00" w:rsidRPr="006F7F36">
        <w:rPr>
          <w:rFonts w:ascii="Times New Roman" w:eastAsia="Times New Roman" w:hAnsi="Times New Roman"/>
          <w:bCs/>
          <w:sz w:val="24"/>
          <w:szCs w:val="24"/>
        </w:rPr>
        <w:t xml:space="preserve">всички лица, които подлежат на облагане с корпоративен данък, както и </w:t>
      </w:r>
      <w:r w:rsidR="00D97A00">
        <w:rPr>
          <w:rFonts w:ascii="Times New Roman" w:eastAsia="Times New Roman" w:hAnsi="Times New Roman"/>
          <w:bCs/>
          <w:sz w:val="24"/>
          <w:szCs w:val="24"/>
        </w:rPr>
        <w:t>тези</w:t>
      </w:r>
      <w:r w:rsidR="00D97A00" w:rsidRPr="006F7F36">
        <w:rPr>
          <w:rFonts w:ascii="Times New Roman" w:eastAsia="Times New Roman" w:hAnsi="Times New Roman"/>
          <w:bCs/>
          <w:sz w:val="24"/>
          <w:szCs w:val="24"/>
        </w:rPr>
        <w:t>, които се облагат с алтернативен на корпоративния данък и едноличните търговци и приравнените на тях за данъчни цели лица, които осъществяват стопанска дейност за генерираните от тях свръхпечалби.</w:t>
      </w:r>
      <w:r w:rsidR="00D97A00">
        <w:rPr>
          <w:rFonts w:ascii="Times New Roman" w:eastAsia="Times New Roman" w:hAnsi="Times New Roman"/>
          <w:bCs/>
          <w:sz w:val="24"/>
          <w:szCs w:val="24"/>
        </w:rPr>
        <w:t xml:space="preserve"> От обхвата ѝ се изключват</w:t>
      </w:r>
      <w:r w:rsidR="00D97A00" w:rsidRPr="006F7F36">
        <w:rPr>
          <w:rFonts w:ascii="Times New Roman" w:eastAsia="Times New Roman" w:hAnsi="Times New Roman"/>
          <w:bCs/>
          <w:sz w:val="24"/>
          <w:szCs w:val="24"/>
        </w:rPr>
        <w:t xml:space="preserve"> лицата</w:t>
      </w:r>
      <w:r w:rsidR="00D97A00">
        <w:rPr>
          <w:rFonts w:ascii="Times New Roman" w:eastAsia="Times New Roman" w:hAnsi="Times New Roman"/>
          <w:bCs/>
          <w:sz w:val="24"/>
          <w:szCs w:val="24"/>
        </w:rPr>
        <w:t>,</w:t>
      </w:r>
      <w:r w:rsidR="00D97A00" w:rsidRPr="006F7F36">
        <w:rPr>
          <w:rFonts w:ascii="Times New Roman" w:eastAsia="Times New Roman" w:hAnsi="Times New Roman"/>
          <w:bCs/>
          <w:sz w:val="24"/>
          <w:szCs w:val="24"/>
        </w:rPr>
        <w:t xml:space="preserve"> които в</w:t>
      </w:r>
      <w:r w:rsidR="00C92D99">
        <w:rPr>
          <w:rFonts w:ascii="Times New Roman" w:eastAsia="Times New Roman" w:hAnsi="Times New Roman"/>
          <w:bCs/>
          <w:sz w:val="24"/>
          <w:szCs w:val="24"/>
        </w:rPr>
        <w:t>насят временна солидарна вноска, която е със сходни характеристики като предлаганата солидарна вноска.</w:t>
      </w:r>
    </w:p>
    <w:p w:rsidR="009F410D" w:rsidRPr="006F7F36" w:rsidRDefault="009F410D" w:rsidP="00412A28">
      <w:pPr>
        <w:tabs>
          <w:tab w:val="left" w:pos="1134"/>
        </w:tabs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2406A">
        <w:rPr>
          <w:rFonts w:ascii="Times New Roman" w:eastAsia="Times New Roman" w:hAnsi="Times New Roman"/>
          <w:bCs/>
          <w:sz w:val="24"/>
          <w:szCs w:val="24"/>
        </w:rPr>
        <w:t xml:space="preserve">За периода 2020-2022 г. държавата е предоставила </w:t>
      </w:r>
      <w:r w:rsidR="00412A28" w:rsidRPr="0062406A">
        <w:rPr>
          <w:rFonts w:ascii="Times New Roman" w:eastAsia="Times New Roman" w:hAnsi="Times New Roman"/>
          <w:bCs/>
          <w:sz w:val="24"/>
          <w:szCs w:val="24"/>
        </w:rPr>
        <w:t>11,2 млрд. лева под формата на помощи, компенс</w:t>
      </w:r>
      <w:r w:rsidR="00C92D99">
        <w:rPr>
          <w:rFonts w:ascii="Times New Roman" w:eastAsia="Times New Roman" w:hAnsi="Times New Roman"/>
          <w:bCs/>
          <w:sz w:val="24"/>
          <w:szCs w:val="24"/>
        </w:rPr>
        <w:t>ации и намалени данъчни ставки -</w:t>
      </w:r>
      <w:r w:rsidR="00412A28" w:rsidRPr="0062406A">
        <w:rPr>
          <w:rFonts w:ascii="Times New Roman" w:eastAsia="Times New Roman" w:hAnsi="Times New Roman"/>
          <w:bCs/>
          <w:sz w:val="24"/>
          <w:szCs w:val="24"/>
        </w:rPr>
        <w:t xml:space="preserve"> от тях </w:t>
      </w:r>
      <w:r w:rsidRPr="0062406A">
        <w:rPr>
          <w:rFonts w:ascii="Times New Roman" w:eastAsia="Times New Roman" w:hAnsi="Times New Roman"/>
          <w:bCs/>
          <w:sz w:val="24"/>
          <w:szCs w:val="24"/>
        </w:rPr>
        <w:t xml:space="preserve">помощи и компенсации на бизнеса, свързани с пандемията </w:t>
      </w:r>
      <w:r w:rsidRPr="0062406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COVID-19, </w:t>
      </w:r>
      <w:r w:rsidRPr="0062406A">
        <w:rPr>
          <w:rFonts w:ascii="Times New Roman" w:eastAsia="Times New Roman" w:hAnsi="Times New Roman"/>
          <w:bCs/>
          <w:sz w:val="24"/>
          <w:szCs w:val="24"/>
        </w:rPr>
        <w:t xml:space="preserve"> енергийната криза и </w:t>
      </w:r>
      <w:r w:rsidRPr="0062406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военните действия в </w:t>
      </w:r>
      <w:r w:rsidRPr="0062406A">
        <w:rPr>
          <w:rFonts w:ascii="Times New Roman" w:eastAsia="Times New Roman" w:hAnsi="Times New Roman"/>
          <w:bCs/>
          <w:sz w:val="24"/>
          <w:szCs w:val="24"/>
        </w:rPr>
        <w:t xml:space="preserve">Украйна общо в размер на </w:t>
      </w:r>
      <w:r w:rsidR="00412A28" w:rsidRPr="0062406A">
        <w:rPr>
          <w:rFonts w:ascii="Times New Roman" w:eastAsia="Times New Roman" w:hAnsi="Times New Roman"/>
          <w:bCs/>
          <w:sz w:val="24"/>
          <w:szCs w:val="24"/>
        </w:rPr>
        <w:t xml:space="preserve">10,3 млрд. лв., и 908,7 млн. лв. загуба за бюджета вследствие на </w:t>
      </w:r>
      <w:r w:rsidRPr="0062406A">
        <w:rPr>
          <w:rFonts w:ascii="Times New Roman" w:eastAsia="Times New Roman" w:hAnsi="Times New Roman"/>
          <w:bCs/>
          <w:sz w:val="24"/>
          <w:szCs w:val="24"/>
        </w:rPr>
        <w:t>намалени ДДС ставки, осв</w:t>
      </w:r>
      <w:r w:rsidR="00412A28" w:rsidRPr="0062406A">
        <w:rPr>
          <w:rFonts w:ascii="Times New Roman" w:eastAsia="Times New Roman" w:hAnsi="Times New Roman"/>
          <w:bCs/>
          <w:sz w:val="24"/>
          <w:szCs w:val="24"/>
        </w:rPr>
        <w:t xml:space="preserve">обождавания от облагане с акциз. </w:t>
      </w:r>
      <w:r w:rsidRPr="0062406A">
        <w:rPr>
          <w:rFonts w:ascii="Times New Roman" w:eastAsia="Times New Roman" w:hAnsi="Times New Roman"/>
          <w:bCs/>
          <w:sz w:val="24"/>
          <w:szCs w:val="24"/>
        </w:rPr>
        <w:t>Декларираните данъчни печалби от дружествата и облагаеми доходи от стопанска дейност като едноличен търговец значително нарастват за 2021 и 2022 години, като печалбите и доходите за 2022 г. бележат ръст от около 100% в сравнение с печалбите за 2018 г. и 2019 г.</w:t>
      </w:r>
      <w:r w:rsidR="00412A28" w:rsidRPr="0062406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2406A">
        <w:rPr>
          <w:rFonts w:ascii="Times New Roman" w:eastAsia="Times New Roman" w:hAnsi="Times New Roman"/>
          <w:bCs/>
          <w:sz w:val="24"/>
          <w:szCs w:val="24"/>
        </w:rPr>
        <w:t>По данни на Националния статистически институт, разпределените печалби под формата на дивиденти са 21,5 млрд. лв. за 2020 г. и 22,4 млрд. лв. за 2021 г.</w:t>
      </w:r>
      <w:r w:rsidR="00412A28" w:rsidRPr="0062406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2406A">
        <w:rPr>
          <w:rFonts w:ascii="Times New Roman" w:eastAsia="Times New Roman" w:hAnsi="Times New Roman"/>
          <w:bCs/>
          <w:sz w:val="24"/>
          <w:szCs w:val="24"/>
        </w:rPr>
        <w:t>Също така по данни на НСИ се наблюдава значителен ръст на наличностите по депозити в банките.</w:t>
      </w:r>
      <w:r w:rsidR="00412A28" w:rsidRPr="0062406A">
        <w:rPr>
          <w:rFonts w:ascii="Times New Roman" w:eastAsia="Times New Roman" w:hAnsi="Times New Roman"/>
          <w:bCs/>
          <w:sz w:val="24"/>
          <w:szCs w:val="24"/>
        </w:rPr>
        <w:t xml:space="preserve"> Ф</w:t>
      </w:r>
      <w:r w:rsidRPr="0062406A">
        <w:rPr>
          <w:rFonts w:ascii="Times New Roman" w:eastAsia="Times New Roman" w:hAnsi="Times New Roman"/>
          <w:bCs/>
          <w:sz w:val="24"/>
          <w:szCs w:val="24"/>
        </w:rPr>
        <w:t>инансовата подкрепа от страна на държавата във връзка с възникналите здравна и енергийна криза и военните действия в Украйна е била навременна и достатъчна, като е запазила не само съществуващия бизнес, но е осигурила условия за неговото ра</w:t>
      </w:r>
      <w:r w:rsidR="00C92D99">
        <w:rPr>
          <w:rFonts w:ascii="Times New Roman" w:eastAsia="Times New Roman" w:hAnsi="Times New Roman"/>
          <w:bCs/>
          <w:sz w:val="24"/>
          <w:szCs w:val="24"/>
        </w:rPr>
        <w:t>звитие и за генериране на</w:t>
      </w:r>
      <w:r w:rsidRPr="0062406A">
        <w:rPr>
          <w:rFonts w:ascii="Times New Roman" w:eastAsia="Times New Roman" w:hAnsi="Times New Roman"/>
          <w:bCs/>
          <w:sz w:val="24"/>
          <w:szCs w:val="24"/>
        </w:rPr>
        <w:t xml:space="preserve"> печалби.</w:t>
      </w:r>
      <w:r w:rsidRPr="006F7F36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A1600" w:rsidRPr="00AA1600" w:rsidRDefault="009F410D" w:rsidP="00AA1600">
      <w:pPr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F7F3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2333B">
        <w:rPr>
          <w:rFonts w:ascii="Times New Roman" w:eastAsia="Times New Roman" w:hAnsi="Times New Roman"/>
          <w:bCs/>
          <w:sz w:val="24"/>
          <w:szCs w:val="24"/>
        </w:rPr>
        <w:t>Предложенията за и</w:t>
      </w:r>
      <w:r w:rsidRPr="00F2333B">
        <w:rPr>
          <w:rFonts w:ascii="Times New Roman" w:hAnsi="Times New Roman"/>
          <w:sz w:val="24"/>
          <w:szCs w:val="24"/>
        </w:rPr>
        <w:t>зменения и допълнения на Закона за данък върху доходите на физическите лица</w:t>
      </w:r>
      <w:r w:rsidR="00AA1600">
        <w:rPr>
          <w:rFonts w:ascii="Times New Roman" w:hAnsi="Times New Roman"/>
          <w:sz w:val="24"/>
          <w:szCs w:val="24"/>
        </w:rPr>
        <w:t xml:space="preserve"> целят</w:t>
      </w:r>
      <w:r w:rsidR="005D3FBE">
        <w:rPr>
          <w:rFonts w:ascii="Times New Roman" w:hAnsi="Times New Roman"/>
          <w:sz w:val="24"/>
          <w:szCs w:val="24"/>
        </w:rPr>
        <w:t xml:space="preserve"> </w:t>
      </w:r>
      <w:r w:rsidR="00AA1600" w:rsidRPr="00AA1600">
        <w:rPr>
          <w:rFonts w:ascii="Times New Roman" w:hAnsi="Times New Roman"/>
          <w:sz w:val="24"/>
          <w:szCs w:val="24"/>
        </w:rPr>
        <w:t xml:space="preserve">да се внесе допълнителна яснота по отношение на данъчното третиране на доходите </w:t>
      </w:r>
      <w:r w:rsidR="00AA1600">
        <w:rPr>
          <w:rFonts w:ascii="Times New Roman" w:hAnsi="Times New Roman"/>
          <w:sz w:val="24"/>
          <w:szCs w:val="24"/>
        </w:rPr>
        <w:t>от продажба на виртуални валути,</w:t>
      </w:r>
      <w:r w:rsidR="00AA1600" w:rsidRPr="00AA1600">
        <w:rPr>
          <w:rFonts w:ascii="Times New Roman" w:hAnsi="Times New Roman"/>
          <w:sz w:val="24"/>
          <w:szCs w:val="24"/>
        </w:rPr>
        <w:t xml:space="preserve"> да се въведе приспадане на нормативно определени разходи пр</w:t>
      </w:r>
      <w:r w:rsidR="00AA1600">
        <w:rPr>
          <w:rFonts w:ascii="Times New Roman" w:hAnsi="Times New Roman"/>
          <w:sz w:val="24"/>
          <w:szCs w:val="24"/>
        </w:rPr>
        <w:t xml:space="preserve">и продажба на финансови активи, както и </w:t>
      </w:r>
      <w:r w:rsidR="00AA1600" w:rsidRPr="00AA1600">
        <w:rPr>
          <w:rFonts w:ascii="Times New Roman" w:hAnsi="Times New Roman"/>
          <w:sz w:val="24"/>
          <w:szCs w:val="24"/>
        </w:rPr>
        <w:t>да се разшири обхватът на доходите, за които се предоставя информация от работодателите и предприятията платци на доходи.</w:t>
      </w:r>
      <w:r w:rsidR="00AA1600">
        <w:rPr>
          <w:rFonts w:ascii="Times New Roman" w:hAnsi="Times New Roman"/>
          <w:sz w:val="24"/>
          <w:szCs w:val="24"/>
        </w:rPr>
        <w:t xml:space="preserve"> В</w:t>
      </w:r>
      <w:r w:rsidR="00AA1600" w:rsidRPr="00AA1600">
        <w:rPr>
          <w:rFonts w:ascii="Times New Roman" w:hAnsi="Times New Roman"/>
          <w:sz w:val="24"/>
          <w:szCs w:val="24"/>
        </w:rPr>
        <w:t>ъв връзка с  определянето на облагаемия доход от продажба или замяна на акции, дялове, компенсаторни инструменти, инвестиционни бонове и други финансови активи, в т.ч. и виртуални валути, както и от търговия с чуждестранна валута</w:t>
      </w:r>
      <w:r w:rsidR="00AA1600">
        <w:rPr>
          <w:rFonts w:ascii="Times New Roman" w:hAnsi="Times New Roman"/>
          <w:sz w:val="24"/>
          <w:szCs w:val="24"/>
        </w:rPr>
        <w:t xml:space="preserve"> се предлага</w:t>
      </w:r>
      <w:r w:rsidR="00AA1600" w:rsidRPr="00AA1600">
        <w:rPr>
          <w:rFonts w:ascii="Times New Roman" w:hAnsi="Times New Roman"/>
          <w:sz w:val="24"/>
          <w:szCs w:val="24"/>
        </w:rPr>
        <w:t xml:space="preserve"> да се приспадат 10 на сто нормативно определени разходи.</w:t>
      </w:r>
    </w:p>
    <w:p w:rsidR="009F410D" w:rsidRPr="006F7F36" w:rsidRDefault="00AA1600" w:rsidP="00E23951">
      <w:pPr>
        <w:tabs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Законопроектът на Д</w:t>
      </w:r>
      <w:r w:rsidR="00D97A00">
        <w:rPr>
          <w:rFonts w:ascii="Times New Roman" w:eastAsia="SimSun" w:hAnsi="Times New Roman"/>
          <w:sz w:val="24"/>
          <w:szCs w:val="24"/>
        </w:rPr>
        <w:t>анъчно-осигурителния процесуален кодекс</w:t>
      </w:r>
      <w:r>
        <w:rPr>
          <w:rFonts w:ascii="Times New Roman" w:eastAsia="SimSun" w:hAnsi="Times New Roman"/>
          <w:sz w:val="24"/>
          <w:szCs w:val="24"/>
        </w:rPr>
        <w:t xml:space="preserve"> включва </w:t>
      </w:r>
      <w:r w:rsidRPr="00AA1600">
        <w:rPr>
          <w:rFonts w:ascii="Times New Roman" w:eastAsia="SimSun" w:hAnsi="Times New Roman"/>
          <w:sz w:val="24"/>
          <w:szCs w:val="24"/>
        </w:rPr>
        <w:t>и</w:t>
      </w:r>
      <w:r w:rsidR="009F410D" w:rsidRPr="00AA1600">
        <w:rPr>
          <w:rFonts w:ascii="Times New Roman" w:hAnsi="Times New Roman"/>
          <w:sz w:val="24"/>
          <w:szCs w:val="24"/>
        </w:rPr>
        <w:t>зменения и допълнения на</w:t>
      </w:r>
      <w:r w:rsidR="009F410D" w:rsidRPr="00AA1600">
        <w:rPr>
          <w:rFonts w:ascii="Times New Roman" w:hAnsi="Times New Roman"/>
          <w:bCs/>
          <w:sz w:val="24"/>
          <w:szCs w:val="24"/>
        </w:rPr>
        <w:t xml:space="preserve"> </w:t>
      </w:r>
      <w:r w:rsidR="009F410D" w:rsidRPr="00AA1600">
        <w:rPr>
          <w:rFonts w:ascii="Times New Roman" w:hAnsi="Times New Roman"/>
          <w:sz w:val="24"/>
          <w:szCs w:val="24"/>
        </w:rPr>
        <w:t xml:space="preserve">Закона за </w:t>
      </w:r>
      <w:r>
        <w:rPr>
          <w:rFonts w:ascii="Times New Roman" w:hAnsi="Times New Roman"/>
          <w:sz w:val="24"/>
          <w:szCs w:val="24"/>
        </w:rPr>
        <w:t>данък върху добавената стойност, с които</w:t>
      </w:r>
      <w:r w:rsidR="005B2B16">
        <w:rPr>
          <w:rFonts w:ascii="Times New Roman" w:hAnsi="Times New Roman"/>
          <w:sz w:val="24"/>
          <w:szCs w:val="24"/>
        </w:rPr>
        <w:t xml:space="preserve"> до 30 юни 2023 г. </w:t>
      </w:r>
      <w:r>
        <w:rPr>
          <w:rFonts w:ascii="Times New Roman" w:hAnsi="Times New Roman"/>
          <w:sz w:val="24"/>
          <w:szCs w:val="24"/>
        </w:rPr>
        <w:t xml:space="preserve">се </w:t>
      </w:r>
      <w:r w:rsidR="009F410D" w:rsidRPr="006F7F36">
        <w:rPr>
          <w:rFonts w:ascii="Times New Roman" w:hAnsi="Times New Roman"/>
          <w:bCs/>
          <w:sz w:val="24"/>
          <w:szCs w:val="24"/>
        </w:rPr>
        <w:t>намалява срок</w:t>
      </w:r>
      <w:r>
        <w:rPr>
          <w:rFonts w:ascii="Times New Roman" w:hAnsi="Times New Roman"/>
          <w:bCs/>
          <w:sz w:val="24"/>
          <w:szCs w:val="24"/>
        </w:rPr>
        <w:t>ът</w:t>
      </w:r>
      <w:r w:rsidR="009F410D" w:rsidRPr="006F7F36">
        <w:rPr>
          <w:rFonts w:ascii="Times New Roman" w:hAnsi="Times New Roman"/>
          <w:bCs/>
          <w:sz w:val="24"/>
          <w:szCs w:val="24"/>
        </w:rPr>
        <w:t xml:space="preserve"> за прилагане на временната намалена ста</w:t>
      </w:r>
      <w:r w:rsidR="00E23951">
        <w:rPr>
          <w:rFonts w:ascii="Times New Roman" w:hAnsi="Times New Roman"/>
          <w:bCs/>
          <w:sz w:val="24"/>
          <w:szCs w:val="24"/>
        </w:rPr>
        <w:t xml:space="preserve">вка на данъка за доставките на </w:t>
      </w:r>
      <w:r w:rsidR="009F410D" w:rsidRPr="006F7F36">
        <w:rPr>
          <w:rFonts w:ascii="Times New Roman" w:hAnsi="Times New Roman"/>
          <w:bCs/>
          <w:sz w:val="24"/>
          <w:szCs w:val="24"/>
        </w:rPr>
        <w:t xml:space="preserve">ресторантьорски и кетъринг услуги, </w:t>
      </w:r>
      <w:r w:rsidR="00E23951">
        <w:rPr>
          <w:rFonts w:ascii="Times New Roman" w:hAnsi="Times New Roman"/>
          <w:bCs/>
          <w:sz w:val="24"/>
          <w:szCs w:val="24"/>
        </w:rPr>
        <w:t xml:space="preserve">за </w:t>
      </w:r>
      <w:r w:rsidR="009F410D" w:rsidRPr="006F7F36">
        <w:rPr>
          <w:rFonts w:ascii="Times New Roman" w:hAnsi="Times New Roman"/>
          <w:bCs/>
          <w:sz w:val="24"/>
          <w:szCs w:val="24"/>
        </w:rPr>
        <w:t>обща</w:t>
      </w:r>
      <w:r w:rsidR="00E23951">
        <w:rPr>
          <w:rFonts w:ascii="Times New Roman" w:hAnsi="Times New Roman"/>
          <w:bCs/>
          <w:sz w:val="24"/>
          <w:szCs w:val="24"/>
        </w:rPr>
        <w:t>та</w:t>
      </w:r>
      <w:r w:rsidR="009F410D" w:rsidRPr="006F7F36">
        <w:rPr>
          <w:rFonts w:ascii="Times New Roman" w:hAnsi="Times New Roman"/>
          <w:bCs/>
          <w:sz w:val="24"/>
          <w:szCs w:val="24"/>
        </w:rPr>
        <w:t xml:space="preserve"> туристическа услуга в случаите по </w:t>
      </w:r>
      <w:r w:rsidR="009F410D" w:rsidRPr="006F7F36">
        <w:rPr>
          <w:rFonts w:ascii="Times New Roman" w:hAnsi="Times New Roman"/>
          <w:sz w:val="24"/>
          <w:szCs w:val="24"/>
        </w:rPr>
        <w:t>чл. 136</w:t>
      </w:r>
      <w:r w:rsidR="00E23951">
        <w:rPr>
          <w:rFonts w:ascii="Times New Roman" w:hAnsi="Times New Roman"/>
          <w:bCs/>
          <w:sz w:val="24"/>
          <w:szCs w:val="24"/>
        </w:rPr>
        <w:t xml:space="preserve"> и за </w:t>
      </w:r>
      <w:r w:rsidR="009F410D" w:rsidRPr="006F7F36">
        <w:rPr>
          <w:rFonts w:ascii="Times New Roman" w:hAnsi="Times New Roman"/>
          <w:bCs/>
          <w:sz w:val="24"/>
          <w:szCs w:val="24"/>
        </w:rPr>
        <w:t>услуга</w:t>
      </w:r>
      <w:r w:rsidR="00E23951">
        <w:rPr>
          <w:rFonts w:ascii="Times New Roman" w:hAnsi="Times New Roman"/>
          <w:bCs/>
          <w:sz w:val="24"/>
          <w:szCs w:val="24"/>
        </w:rPr>
        <w:t>та</w:t>
      </w:r>
      <w:r w:rsidR="009F410D" w:rsidRPr="006F7F36">
        <w:rPr>
          <w:rFonts w:ascii="Times New Roman" w:hAnsi="Times New Roman"/>
          <w:bCs/>
          <w:sz w:val="24"/>
          <w:szCs w:val="24"/>
        </w:rPr>
        <w:t xml:space="preserve"> за използване на спортни съоръжения.</w:t>
      </w:r>
      <w:r w:rsidR="00E23951">
        <w:rPr>
          <w:rFonts w:ascii="Times New Roman" w:hAnsi="Times New Roman"/>
          <w:bCs/>
          <w:sz w:val="24"/>
          <w:szCs w:val="24"/>
        </w:rPr>
        <w:t xml:space="preserve"> </w:t>
      </w:r>
      <w:r w:rsidR="009F410D" w:rsidRPr="006F7F36">
        <w:rPr>
          <w:rFonts w:ascii="Times New Roman" w:hAnsi="Times New Roman"/>
          <w:bCs/>
          <w:sz w:val="24"/>
          <w:szCs w:val="24"/>
        </w:rPr>
        <w:t>С постоянна намалена ставка на данъка продължават да се облагат дост</w:t>
      </w:r>
      <w:r w:rsidR="00E23951">
        <w:rPr>
          <w:rFonts w:ascii="Times New Roman" w:hAnsi="Times New Roman"/>
          <w:bCs/>
          <w:sz w:val="24"/>
          <w:szCs w:val="24"/>
        </w:rPr>
        <w:t>авките на услуги по настаняване,</w:t>
      </w:r>
      <w:r w:rsidR="009F410D" w:rsidRPr="006F7F36">
        <w:rPr>
          <w:rFonts w:ascii="Times New Roman" w:hAnsi="Times New Roman"/>
          <w:bCs/>
          <w:sz w:val="24"/>
          <w:szCs w:val="24"/>
        </w:rPr>
        <w:t xml:space="preserve"> доставките на книги</w:t>
      </w:r>
      <w:r w:rsidR="00E23951">
        <w:rPr>
          <w:rFonts w:ascii="Times New Roman" w:hAnsi="Times New Roman"/>
          <w:bCs/>
          <w:sz w:val="24"/>
          <w:szCs w:val="24"/>
        </w:rPr>
        <w:t xml:space="preserve"> и</w:t>
      </w:r>
      <w:r w:rsidR="009F410D" w:rsidRPr="006F7F36">
        <w:rPr>
          <w:rFonts w:ascii="Times New Roman" w:hAnsi="Times New Roman"/>
          <w:bCs/>
          <w:sz w:val="24"/>
          <w:szCs w:val="24"/>
        </w:rPr>
        <w:t xml:space="preserve"> </w:t>
      </w:r>
      <w:r w:rsidR="00E23951" w:rsidRPr="00E23951">
        <w:rPr>
          <w:rFonts w:ascii="Times New Roman" w:hAnsi="Times New Roman" w:cs="Times New Roman"/>
          <w:bCs/>
          <w:sz w:val="24"/>
          <w:szCs w:val="24"/>
        </w:rPr>
        <w:t xml:space="preserve">периодични печатни произведения </w:t>
      </w:r>
      <w:r w:rsidR="009F410D" w:rsidRPr="006F7F36">
        <w:rPr>
          <w:rFonts w:ascii="Times New Roman" w:hAnsi="Times New Roman"/>
          <w:bCs/>
          <w:sz w:val="24"/>
          <w:szCs w:val="24"/>
        </w:rPr>
        <w:t>на физически носители и</w:t>
      </w:r>
      <w:r w:rsidR="00E23951">
        <w:rPr>
          <w:rFonts w:ascii="Times New Roman" w:hAnsi="Times New Roman"/>
          <w:bCs/>
          <w:sz w:val="24"/>
          <w:szCs w:val="24"/>
        </w:rPr>
        <w:t>ли извършвана по електронен път</w:t>
      </w:r>
      <w:r w:rsidR="009F410D" w:rsidRPr="00E239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10D" w:rsidRPr="00E239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и </w:t>
      </w:r>
      <w:r w:rsidR="009F410D" w:rsidRPr="00E23951">
        <w:rPr>
          <w:rFonts w:ascii="Times New Roman" w:hAnsi="Times New Roman" w:cs="Times New Roman"/>
          <w:bCs/>
          <w:sz w:val="24"/>
          <w:szCs w:val="24"/>
        </w:rPr>
        <w:t>доставки</w:t>
      </w:r>
      <w:r w:rsidR="009F410D" w:rsidRPr="00E23951">
        <w:rPr>
          <w:rFonts w:ascii="Times New Roman" w:hAnsi="Times New Roman" w:cs="Times New Roman"/>
          <w:bCs/>
          <w:sz w:val="24"/>
          <w:szCs w:val="24"/>
          <w:lang w:val="en-US"/>
        </w:rPr>
        <w:t>те</w:t>
      </w:r>
      <w:r w:rsidR="009F410D" w:rsidRPr="00E23951">
        <w:rPr>
          <w:rFonts w:ascii="Times New Roman" w:hAnsi="Times New Roman" w:cs="Times New Roman"/>
          <w:bCs/>
          <w:sz w:val="24"/>
          <w:szCs w:val="24"/>
        </w:rPr>
        <w:t xml:space="preserve"> на храни,</w:t>
      </w:r>
      <w:r w:rsidR="00E23951">
        <w:rPr>
          <w:rFonts w:ascii="Times New Roman" w:hAnsi="Times New Roman" w:cs="Times New Roman"/>
          <w:bCs/>
          <w:sz w:val="24"/>
          <w:szCs w:val="24"/>
        </w:rPr>
        <w:t xml:space="preserve"> пелени и хигиенни артикули,</w:t>
      </w:r>
      <w:r w:rsidR="009F410D" w:rsidRPr="00E23951">
        <w:rPr>
          <w:rFonts w:ascii="Times New Roman" w:hAnsi="Times New Roman" w:cs="Times New Roman"/>
          <w:bCs/>
          <w:sz w:val="24"/>
          <w:szCs w:val="24"/>
        </w:rPr>
        <w:t xml:space="preserve"> подходящи</w:t>
      </w:r>
      <w:r w:rsidR="00E23951">
        <w:rPr>
          <w:rFonts w:ascii="Times New Roman" w:hAnsi="Times New Roman" w:cs="Times New Roman"/>
          <w:bCs/>
          <w:sz w:val="24"/>
          <w:szCs w:val="24"/>
        </w:rPr>
        <w:t xml:space="preserve"> за бебета или за малки деца.</w:t>
      </w:r>
      <w:r w:rsidR="005B2B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410D" w:rsidRPr="006F7F36" w:rsidRDefault="00D97A00" w:rsidP="009679D8">
      <w:pPr>
        <w:tabs>
          <w:tab w:val="left" w:pos="1134"/>
        </w:tabs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23951">
        <w:rPr>
          <w:rFonts w:ascii="Times New Roman" w:hAnsi="Times New Roman"/>
          <w:sz w:val="24"/>
          <w:szCs w:val="24"/>
        </w:rPr>
        <w:t xml:space="preserve"> </w:t>
      </w:r>
      <w:r w:rsidR="009F410D" w:rsidRPr="00E23951">
        <w:rPr>
          <w:rFonts w:ascii="Times New Roman" w:hAnsi="Times New Roman"/>
          <w:sz w:val="24"/>
          <w:szCs w:val="24"/>
        </w:rPr>
        <w:t>измененията и допълненията на Закона за акцизите и данъчните складове</w:t>
      </w:r>
      <w:r w:rsidR="00E23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 </w:t>
      </w:r>
      <w:r w:rsidR="00E23951">
        <w:rPr>
          <w:rFonts w:ascii="Times New Roman" w:hAnsi="Times New Roman"/>
          <w:sz w:val="24"/>
          <w:szCs w:val="24"/>
        </w:rPr>
        <w:t xml:space="preserve">предлага </w:t>
      </w:r>
      <w:r w:rsidR="00E23951" w:rsidRPr="006F7F36">
        <w:rPr>
          <w:rFonts w:ascii="Times New Roman" w:hAnsi="Times New Roman"/>
          <w:sz w:val="24"/>
          <w:szCs w:val="24"/>
        </w:rPr>
        <w:t>течностите за електронни цигари, несъдържащи никотин</w:t>
      </w:r>
      <w:r w:rsidR="00E23951">
        <w:rPr>
          <w:rFonts w:ascii="Times New Roman" w:hAnsi="Times New Roman"/>
          <w:sz w:val="24"/>
          <w:szCs w:val="24"/>
        </w:rPr>
        <w:t>,</w:t>
      </w:r>
      <w:r w:rsidR="00E23951" w:rsidRPr="006F7F36">
        <w:rPr>
          <w:rFonts w:ascii="Times New Roman" w:hAnsi="Times New Roman"/>
          <w:sz w:val="24"/>
          <w:szCs w:val="24"/>
        </w:rPr>
        <w:t xml:space="preserve"> и заместителите на тютюна, съдържащи никотин, да се включат в обхвата на акцизните стоки и за тях да се прилагат правилата за тютюневите изделия.</w:t>
      </w:r>
      <w:r w:rsidR="00E23951">
        <w:rPr>
          <w:rFonts w:ascii="Times New Roman" w:hAnsi="Times New Roman"/>
          <w:sz w:val="24"/>
          <w:szCs w:val="24"/>
        </w:rPr>
        <w:t xml:space="preserve"> Предложенията включват и отмяна на </w:t>
      </w:r>
      <w:r w:rsidR="00E23951" w:rsidRPr="006F7F36">
        <w:rPr>
          <w:rFonts w:ascii="Times New Roman" w:hAnsi="Times New Roman"/>
          <w:bCs/>
          <w:iCs/>
          <w:sz w:val="24"/>
          <w:szCs w:val="24"/>
        </w:rPr>
        <w:t>въвед</w:t>
      </w:r>
      <w:r w:rsidR="00E23951">
        <w:rPr>
          <w:rFonts w:ascii="Times New Roman" w:hAnsi="Times New Roman"/>
          <w:bCs/>
          <w:iCs/>
          <w:sz w:val="24"/>
          <w:szCs w:val="24"/>
        </w:rPr>
        <w:t>ен</w:t>
      </w:r>
      <w:r w:rsidR="0011243D">
        <w:rPr>
          <w:rFonts w:ascii="Times New Roman" w:hAnsi="Times New Roman"/>
          <w:bCs/>
          <w:iCs/>
          <w:sz w:val="24"/>
          <w:szCs w:val="24"/>
        </w:rPr>
        <w:t>ите</w:t>
      </w:r>
      <w:r w:rsidR="00E2395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23951" w:rsidRPr="006F7F36">
        <w:rPr>
          <w:rFonts w:ascii="Times New Roman" w:hAnsi="Times New Roman"/>
          <w:bCs/>
          <w:iCs/>
          <w:sz w:val="24"/>
          <w:szCs w:val="24"/>
        </w:rPr>
        <w:t>краткосрочн</w:t>
      </w:r>
      <w:r w:rsidR="0011243D">
        <w:rPr>
          <w:rFonts w:ascii="Times New Roman" w:hAnsi="Times New Roman"/>
          <w:bCs/>
          <w:iCs/>
          <w:sz w:val="24"/>
          <w:szCs w:val="24"/>
        </w:rPr>
        <w:t>и</w:t>
      </w:r>
      <w:r w:rsidR="00E23951" w:rsidRPr="006F7F36">
        <w:rPr>
          <w:rFonts w:ascii="Times New Roman" w:hAnsi="Times New Roman"/>
          <w:bCs/>
          <w:iCs/>
          <w:sz w:val="24"/>
          <w:szCs w:val="24"/>
        </w:rPr>
        <w:t xml:space="preserve"> антиинфлационн</w:t>
      </w:r>
      <w:r w:rsidR="0011243D">
        <w:rPr>
          <w:rFonts w:ascii="Times New Roman" w:hAnsi="Times New Roman"/>
          <w:bCs/>
          <w:iCs/>
          <w:sz w:val="24"/>
          <w:szCs w:val="24"/>
        </w:rPr>
        <w:t>и</w:t>
      </w:r>
      <w:r w:rsidR="00E23951">
        <w:rPr>
          <w:rFonts w:ascii="Times New Roman" w:hAnsi="Times New Roman"/>
          <w:bCs/>
          <w:iCs/>
          <w:sz w:val="24"/>
          <w:szCs w:val="24"/>
        </w:rPr>
        <w:t xml:space="preserve"> м</w:t>
      </w:r>
      <w:r w:rsidR="0011243D">
        <w:rPr>
          <w:rFonts w:ascii="Times New Roman" w:hAnsi="Times New Roman"/>
          <w:bCs/>
          <w:iCs/>
          <w:sz w:val="24"/>
          <w:szCs w:val="24"/>
        </w:rPr>
        <w:t>е</w:t>
      </w:r>
      <w:r w:rsidR="00E23951" w:rsidRPr="006F7F36">
        <w:rPr>
          <w:rFonts w:ascii="Times New Roman" w:hAnsi="Times New Roman"/>
          <w:bCs/>
          <w:iCs/>
          <w:sz w:val="24"/>
          <w:szCs w:val="24"/>
        </w:rPr>
        <w:t>рк</w:t>
      </w:r>
      <w:r w:rsidR="0011243D">
        <w:rPr>
          <w:rFonts w:ascii="Times New Roman" w:hAnsi="Times New Roman"/>
          <w:bCs/>
          <w:iCs/>
          <w:sz w:val="24"/>
          <w:szCs w:val="24"/>
        </w:rPr>
        <w:t>и</w:t>
      </w:r>
      <w:r w:rsidR="00E23951">
        <w:rPr>
          <w:rFonts w:ascii="Times New Roman" w:hAnsi="Times New Roman"/>
          <w:bCs/>
          <w:iCs/>
          <w:sz w:val="24"/>
          <w:szCs w:val="24"/>
        </w:rPr>
        <w:t xml:space="preserve"> з</w:t>
      </w:r>
      <w:r w:rsidR="00E23951" w:rsidRPr="006F7F36">
        <w:rPr>
          <w:rFonts w:ascii="Times New Roman" w:hAnsi="Times New Roman"/>
          <w:bCs/>
          <w:iCs/>
          <w:sz w:val="24"/>
          <w:szCs w:val="24"/>
        </w:rPr>
        <w:t>а възстановяване на платения акциз за електрическа енергия</w:t>
      </w:r>
      <w:r w:rsidR="00D8381E">
        <w:rPr>
          <w:rFonts w:ascii="Times New Roman" w:hAnsi="Times New Roman"/>
          <w:bCs/>
          <w:iCs/>
          <w:sz w:val="24"/>
          <w:szCs w:val="24"/>
        </w:rPr>
        <w:t xml:space="preserve">, нулевата акцизна ставка върху моторните горива за </w:t>
      </w:r>
      <w:r w:rsidR="00D8381E">
        <w:rPr>
          <w:rFonts w:ascii="Times New Roman" w:hAnsi="Times New Roman"/>
          <w:bCs/>
          <w:iCs/>
          <w:sz w:val="24"/>
          <w:szCs w:val="24"/>
          <w:lang w:val="en-US"/>
        </w:rPr>
        <w:t>LPG</w:t>
      </w:r>
      <w:r w:rsidR="00D34843">
        <w:rPr>
          <w:rFonts w:ascii="Times New Roman" w:hAnsi="Times New Roman"/>
          <w:bCs/>
          <w:iCs/>
          <w:sz w:val="24"/>
          <w:szCs w:val="24"/>
        </w:rPr>
        <w:t xml:space="preserve"> и за природния газ</w:t>
      </w:r>
      <w:r w:rsidR="009679D8">
        <w:rPr>
          <w:rFonts w:ascii="Times New Roman" w:hAnsi="Times New Roman"/>
          <w:bCs/>
          <w:iCs/>
          <w:sz w:val="24"/>
          <w:szCs w:val="24"/>
        </w:rPr>
        <w:t xml:space="preserve"> и нулевата акцизна ставка за</w:t>
      </w:r>
      <w:r w:rsidR="00233ED7">
        <w:rPr>
          <w:rFonts w:ascii="Times New Roman" w:hAnsi="Times New Roman"/>
          <w:bCs/>
          <w:iCs/>
          <w:sz w:val="24"/>
          <w:szCs w:val="24"/>
        </w:rPr>
        <w:t xml:space="preserve"> произведената електрическа енергия от възобновяеми източници.</w:t>
      </w:r>
      <w:r w:rsidR="00D8381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F410D" w:rsidRPr="006F7F36">
        <w:rPr>
          <w:rFonts w:ascii="Times New Roman" w:hAnsi="Times New Roman"/>
          <w:sz w:val="24"/>
          <w:szCs w:val="24"/>
        </w:rPr>
        <w:t>Основната цел на мерки</w:t>
      </w:r>
      <w:r w:rsidR="009679D8">
        <w:rPr>
          <w:rFonts w:ascii="Times New Roman" w:hAnsi="Times New Roman"/>
          <w:sz w:val="24"/>
          <w:szCs w:val="24"/>
        </w:rPr>
        <w:t>те</w:t>
      </w:r>
      <w:r w:rsidR="009F410D" w:rsidRPr="006F7F36">
        <w:rPr>
          <w:rFonts w:ascii="Times New Roman" w:hAnsi="Times New Roman"/>
          <w:sz w:val="24"/>
          <w:szCs w:val="24"/>
        </w:rPr>
        <w:t xml:space="preserve"> е да се запази конкурентоспособността и рентабилността на енергоемките сектори, при които разходите за енергия съставляват висок дял от производствените разходи, както и да се овладеят постоянно повишаващите се цени на електроенергията и на горивата. </w:t>
      </w:r>
    </w:p>
    <w:p w:rsidR="009F410D" w:rsidRPr="006F7F36" w:rsidRDefault="009679D8" w:rsidP="009679D8">
      <w:pPr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679D8">
        <w:rPr>
          <w:rFonts w:ascii="Times New Roman" w:hAnsi="Times New Roman"/>
          <w:sz w:val="24"/>
          <w:szCs w:val="24"/>
        </w:rPr>
        <w:t xml:space="preserve">Предлагат се и </w:t>
      </w:r>
      <w:r w:rsidR="009F410D" w:rsidRPr="009679D8">
        <w:rPr>
          <w:rFonts w:ascii="Times New Roman" w:hAnsi="Times New Roman"/>
          <w:sz w:val="24"/>
          <w:szCs w:val="24"/>
        </w:rPr>
        <w:t xml:space="preserve">изменения и допълнения на </w:t>
      </w:r>
      <w:r w:rsidR="009F410D" w:rsidRPr="009679D8">
        <w:rPr>
          <w:rFonts w:ascii="Times New Roman" w:hAnsi="Times New Roman"/>
          <w:bCs/>
          <w:sz w:val="24"/>
          <w:szCs w:val="24"/>
        </w:rPr>
        <w:t>Закона за ог</w:t>
      </w:r>
      <w:r>
        <w:rPr>
          <w:rFonts w:ascii="Times New Roman" w:hAnsi="Times New Roman"/>
          <w:bCs/>
          <w:sz w:val="24"/>
          <w:szCs w:val="24"/>
        </w:rPr>
        <w:t>раничаване на плащанията в брой – к</w:t>
      </w:r>
      <w:r w:rsidR="009F410D" w:rsidRPr="006F7F36">
        <w:rPr>
          <w:rFonts w:ascii="Times New Roman" w:hAnsi="Times New Roman"/>
          <w:bCs/>
          <w:sz w:val="24"/>
          <w:szCs w:val="24"/>
        </w:rPr>
        <w:t>ато мярка за ограничаване дела на сивата икономика нормативно регламентираният праг за ограничаване на плащанията в брой в страната се намал</w:t>
      </w:r>
      <w:r>
        <w:rPr>
          <w:rFonts w:ascii="Times New Roman" w:hAnsi="Times New Roman"/>
          <w:bCs/>
          <w:sz w:val="24"/>
          <w:szCs w:val="24"/>
        </w:rPr>
        <w:t>ява</w:t>
      </w:r>
      <w:r w:rsidR="009F410D" w:rsidRPr="006F7F36">
        <w:rPr>
          <w:rFonts w:ascii="Times New Roman" w:hAnsi="Times New Roman"/>
          <w:bCs/>
          <w:sz w:val="24"/>
          <w:szCs w:val="24"/>
        </w:rPr>
        <w:t xml:space="preserve"> от 10 000 лв. на 5 000 лв. </w:t>
      </w:r>
      <w:r w:rsidR="009F410D" w:rsidRPr="006F7F36">
        <w:rPr>
          <w:rFonts w:ascii="Times New Roman" w:hAnsi="Times New Roman"/>
          <w:sz w:val="24"/>
          <w:szCs w:val="24"/>
          <w:lang w:val="ru-RU"/>
        </w:rPr>
        <w:t>Предложението е плащанията на територията на страната да се извършват само чрез превод или внасяне по плате</w:t>
      </w:r>
      <w:r>
        <w:rPr>
          <w:rFonts w:ascii="Times New Roman" w:hAnsi="Times New Roman"/>
          <w:sz w:val="24"/>
          <w:szCs w:val="24"/>
          <w:lang w:val="ru-RU"/>
        </w:rPr>
        <w:t xml:space="preserve">жна сметка, когато са </w:t>
      </w:r>
      <w:r w:rsidR="009F410D" w:rsidRPr="006F7F36">
        <w:rPr>
          <w:rFonts w:ascii="Times New Roman" w:hAnsi="Times New Roman"/>
          <w:sz w:val="24"/>
          <w:szCs w:val="24"/>
          <w:lang w:val="ru-RU"/>
        </w:rPr>
        <w:t>на стойност, ра</w:t>
      </w:r>
      <w:r>
        <w:rPr>
          <w:rFonts w:ascii="Times New Roman" w:hAnsi="Times New Roman"/>
          <w:sz w:val="24"/>
          <w:szCs w:val="24"/>
          <w:lang w:val="ru-RU"/>
        </w:rPr>
        <w:t xml:space="preserve">вна на или надвишаваща 5000 лв. и </w:t>
      </w:r>
      <w:r w:rsidR="009F410D" w:rsidRPr="006F7F36">
        <w:rPr>
          <w:rFonts w:ascii="Times New Roman" w:hAnsi="Times New Roman"/>
          <w:sz w:val="24"/>
          <w:szCs w:val="24"/>
          <w:lang w:val="ru-RU"/>
        </w:rPr>
        <w:t>на стойност под 5000 лв., представляваща част от парична престация по договор, чиято стойност е равна на или надвишава 5000 лв.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410D" w:rsidRPr="006F7F36">
        <w:rPr>
          <w:rFonts w:ascii="Times New Roman" w:hAnsi="Times New Roman"/>
          <w:bCs/>
          <w:sz w:val="24"/>
          <w:szCs w:val="24"/>
        </w:rPr>
        <w:t xml:space="preserve">Мярката ще стимулира текущото отразяване на паричните потоци чрез първични счетоводни документи и ще способства за минимизиране на разплащанията в брой по сделки между лицата, участници в стопанския оборот. </w:t>
      </w:r>
      <w:r w:rsidR="009F410D" w:rsidRPr="006F7F36">
        <w:rPr>
          <w:rFonts w:ascii="Times New Roman" w:hAnsi="Times New Roman"/>
          <w:sz w:val="24"/>
          <w:szCs w:val="24"/>
          <w:lang w:val="ru-RU"/>
        </w:rPr>
        <w:t xml:space="preserve">Предлага се и изплащането на трудовите възнаграждения в размери над прага от 5 000 лв. да се включи в режима на </w:t>
      </w:r>
      <w:r w:rsidR="005B419B">
        <w:rPr>
          <w:rFonts w:ascii="Times New Roman" w:hAnsi="Times New Roman"/>
          <w:sz w:val="24"/>
          <w:szCs w:val="24"/>
          <w:lang w:val="ru-RU"/>
        </w:rPr>
        <w:t>Закона</w:t>
      </w:r>
      <w:r>
        <w:rPr>
          <w:rFonts w:ascii="Times New Roman" w:hAnsi="Times New Roman"/>
          <w:sz w:val="24"/>
          <w:szCs w:val="24"/>
          <w:lang w:val="ru-RU"/>
        </w:rPr>
        <w:t xml:space="preserve">, тъй като </w:t>
      </w:r>
      <w:r w:rsidR="009F410D" w:rsidRPr="006F7F36">
        <w:rPr>
          <w:rFonts w:ascii="Times New Roman" w:hAnsi="Times New Roman"/>
          <w:sz w:val="24"/>
          <w:szCs w:val="24"/>
          <w:lang w:val="ru-RU"/>
        </w:rPr>
        <w:t>понастоящем изплащането на трудови възнаграждения</w:t>
      </w:r>
      <w:r>
        <w:rPr>
          <w:rFonts w:ascii="Times New Roman" w:hAnsi="Times New Roman"/>
          <w:sz w:val="24"/>
          <w:szCs w:val="24"/>
          <w:lang w:val="ru-RU"/>
        </w:rPr>
        <w:t xml:space="preserve"> е изключено от обхвата му.</w:t>
      </w:r>
      <w:r w:rsidR="009F410D" w:rsidRPr="006F7F36"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9F410D" w:rsidRPr="006F7F36" w:rsidSect="0042433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532"/>
    <w:multiLevelType w:val="hybridMultilevel"/>
    <w:tmpl w:val="E9D67A9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9588C"/>
    <w:multiLevelType w:val="hybridMultilevel"/>
    <w:tmpl w:val="04D0155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F0CF0"/>
    <w:multiLevelType w:val="hybridMultilevel"/>
    <w:tmpl w:val="35E05FB6"/>
    <w:lvl w:ilvl="0" w:tplc="C6041926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E4"/>
    <w:rsid w:val="000348D7"/>
    <w:rsid w:val="0007195C"/>
    <w:rsid w:val="000770EE"/>
    <w:rsid w:val="00093742"/>
    <w:rsid w:val="000945F0"/>
    <w:rsid w:val="000D6E64"/>
    <w:rsid w:val="0011243D"/>
    <w:rsid w:val="001611E4"/>
    <w:rsid w:val="0016223D"/>
    <w:rsid w:val="0019440A"/>
    <w:rsid w:val="001A706D"/>
    <w:rsid w:val="001A74D4"/>
    <w:rsid w:val="001B394B"/>
    <w:rsid w:val="001E34A0"/>
    <w:rsid w:val="00233ED7"/>
    <w:rsid w:val="00274B8D"/>
    <w:rsid w:val="002E2406"/>
    <w:rsid w:val="002E7BE0"/>
    <w:rsid w:val="00313751"/>
    <w:rsid w:val="003531FE"/>
    <w:rsid w:val="00380724"/>
    <w:rsid w:val="003964F4"/>
    <w:rsid w:val="003C2E0D"/>
    <w:rsid w:val="003D2F5E"/>
    <w:rsid w:val="003E2E41"/>
    <w:rsid w:val="00400B47"/>
    <w:rsid w:val="00406F79"/>
    <w:rsid w:val="00412A28"/>
    <w:rsid w:val="00424330"/>
    <w:rsid w:val="004760F9"/>
    <w:rsid w:val="00480F56"/>
    <w:rsid w:val="00481D8A"/>
    <w:rsid w:val="004C2C05"/>
    <w:rsid w:val="005076C0"/>
    <w:rsid w:val="00545AA5"/>
    <w:rsid w:val="00547A7F"/>
    <w:rsid w:val="005759F8"/>
    <w:rsid w:val="00590CE1"/>
    <w:rsid w:val="005B2B16"/>
    <w:rsid w:val="005B419B"/>
    <w:rsid w:val="005C42DC"/>
    <w:rsid w:val="005D3FBE"/>
    <w:rsid w:val="0062406A"/>
    <w:rsid w:val="00672009"/>
    <w:rsid w:val="006941FE"/>
    <w:rsid w:val="00697C86"/>
    <w:rsid w:val="006B2E77"/>
    <w:rsid w:val="006B5843"/>
    <w:rsid w:val="006F60E4"/>
    <w:rsid w:val="006F7F36"/>
    <w:rsid w:val="0074755C"/>
    <w:rsid w:val="0075108F"/>
    <w:rsid w:val="00754D17"/>
    <w:rsid w:val="00807D79"/>
    <w:rsid w:val="00830538"/>
    <w:rsid w:val="00837FB9"/>
    <w:rsid w:val="00882055"/>
    <w:rsid w:val="00884C59"/>
    <w:rsid w:val="008A2600"/>
    <w:rsid w:val="008C5BDC"/>
    <w:rsid w:val="009174E3"/>
    <w:rsid w:val="009679D8"/>
    <w:rsid w:val="009F410D"/>
    <w:rsid w:val="009F5C6A"/>
    <w:rsid w:val="00A40202"/>
    <w:rsid w:val="00A40A67"/>
    <w:rsid w:val="00AA1600"/>
    <w:rsid w:val="00AB452B"/>
    <w:rsid w:val="00AD2594"/>
    <w:rsid w:val="00B43647"/>
    <w:rsid w:val="00B51446"/>
    <w:rsid w:val="00B755F6"/>
    <w:rsid w:val="00B76E2E"/>
    <w:rsid w:val="00B77941"/>
    <w:rsid w:val="00B811D2"/>
    <w:rsid w:val="00B96662"/>
    <w:rsid w:val="00BC397A"/>
    <w:rsid w:val="00BE2542"/>
    <w:rsid w:val="00BE570F"/>
    <w:rsid w:val="00C234BA"/>
    <w:rsid w:val="00C26CF7"/>
    <w:rsid w:val="00C532B5"/>
    <w:rsid w:val="00C678BF"/>
    <w:rsid w:val="00C703C1"/>
    <w:rsid w:val="00C92D99"/>
    <w:rsid w:val="00CD6512"/>
    <w:rsid w:val="00CF41AC"/>
    <w:rsid w:val="00D34843"/>
    <w:rsid w:val="00D37F2D"/>
    <w:rsid w:val="00D57608"/>
    <w:rsid w:val="00D64404"/>
    <w:rsid w:val="00D7747F"/>
    <w:rsid w:val="00D8381E"/>
    <w:rsid w:val="00D97A00"/>
    <w:rsid w:val="00DB571C"/>
    <w:rsid w:val="00DB5B39"/>
    <w:rsid w:val="00DB7DFB"/>
    <w:rsid w:val="00DD03A4"/>
    <w:rsid w:val="00DE221B"/>
    <w:rsid w:val="00E15550"/>
    <w:rsid w:val="00E23951"/>
    <w:rsid w:val="00E2556F"/>
    <w:rsid w:val="00EC6DCD"/>
    <w:rsid w:val="00ED0FC3"/>
    <w:rsid w:val="00EE140D"/>
    <w:rsid w:val="00F2333B"/>
    <w:rsid w:val="00F46995"/>
    <w:rsid w:val="00F9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3D6BA-01DE-45F8-BCCE-54A99F9A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0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3C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1D8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F410D"/>
    <w:rPr>
      <w:rFonts w:ascii="Hebar" w:hAnsi="Hebar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9F410D"/>
    <w:pPr>
      <w:spacing w:after="0" w:line="240" w:lineRule="auto"/>
      <w:ind w:left="720"/>
      <w:contextualSpacing/>
    </w:pPr>
    <w:rPr>
      <w:rFonts w:ascii="Hebar" w:hAnsi="Hebar"/>
      <w:sz w:val="24"/>
    </w:rPr>
  </w:style>
  <w:style w:type="paragraph" w:customStyle="1" w:styleId="Default">
    <w:name w:val="Default"/>
    <w:rsid w:val="009F410D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EUAlberti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F4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39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fin.bg/bg/legislation7/442" TargetMode="External"/><Relationship Id="rId5" Type="http://schemas.openxmlformats.org/officeDocument/2006/relationships/hyperlink" Target="mailto:press-office@minfi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 Черничерска</dc:creator>
  <cp:lastModifiedBy>Людмила Петкова</cp:lastModifiedBy>
  <cp:revision>2</cp:revision>
  <dcterms:created xsi:type="dcterms:W3CDTF">2023-03-17T15:05:00Z</dcterms:created>
  <dcterms:modified xsi:type="dcterms:W3CDTF">2023-03-17T15:05:00Z</dcterms:modified>
</cp:coreProperties>
</file>