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1" w:type="dxa"/>
        <w:tblLook w:val="0000" w:firstRow="0" w:lastRow="0" w:firstColumn="0" w:lastColumn="0" w:noHBand="0" w:noVBand="0"/>
      </w:tblPr>
      <w:tblGrid>
        <w:gridCol w:w="1254"/>
        <w:gridCol w:w="7866"/>
      </w:tblGrid>
      <w:tr w:rsidR="004A1BD3" w:rsidRPr="00192CB7" w:rsidTr="00265213">
        <w:trPr>
          <w:trHeight w:val="542"/>
        </w:trPr>
        <w:tc>
          <w:tcPr>
            <w:tcW w:w="1254" w:type="dxa"/>
            <w:vMerge w:val="restart"/>
          </w:tcPr>
          <w:p w:rsidR="004A1BD3" w:rsidRPr="00192CB7" w:rsidRDefault="004A1BD3" w:rsidP="00265213">
            <w:pPr>
              <w:pStyle w:val="2"/>
              <w:keepNext w:val="0"/>
              <w:widowControl w:val="0"/>
              <w:ind w:left="-108" w:right="-96"/>
              <w:jc w:val="both"/>
              <w:rPr>
                <w:b w:val="0"/>
                <w:szCs w:val="28"/>
              </w:rPr>
            </w:pPr>
            <w:r>
              <w:rPr>
                <w:b w:val="0"/>
                <w:noProof/>
                <w:szCs w:val="28"/>
                <w:lang w:eastAsia="bg-BG"/>
              </w:rPr>
              <w:drawing>
                <wp:inline distT="0" distB="0" distL="0" distR="0">
                  <wp:extent cx="750570" cy="901065"/>
                  <wp:effectExtent l="0" t="0" r="0" b="0"/>
                  <wp:docPr id="1" name="Картина 1" descr="Prokuratur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kuratur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4A1BD3" w:rsidRPr="004A1BD3" w:rsidRDefault="004A1BD3" w:rsidP="00265213">
            <w:pPr>
              <w:pStyle w:val="2"/>
              <w:keepNext w:val="0"/>
              <w:widowControl w:val="0"/>
              <w:jc w:val="both"/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A1BD3" w:rsidRPr="004A1BD3" w:rsidRDefault="004A1BD3" w:rsidP="00265213">
            <w:pPr>
              <w:pStyle w:val="2"/>
              <w:keepNext w:val="0"/>
              <w:widowControl w:val="0"/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1BD3"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ПРОКУРАТУРА НА РЕПУБЛИКА БЪЛГАРИЯ</w:t>
            </w:r>
          </w:p>
          <w:p w:rsidR="004A1BD3" w:rsidRDefault="004A1BD3" w:rsidP="00265213">
            <w:pPr>
              <w:ind w:left="63" w:firstLine="0"/>
              <w:jc w:val="center"/>
              <w:rPr>
                <w:b/>
                <w:szCs w:val="28"/>
              </w:rPr>
            </w:pPr>
          </w:p>
          <w:p w:rsidR="004A1BD3" w:rsidRPr="004D7048" w:rsidRDefault="004A1BD3" w:rsidP="00265213">
            <w:pPr>
              <w:ind w:left="63"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ПРЕСЦЕНТЪР</w:t>
            </w:r>
          </w:p>
        </w:tc>
      </w:tr>
      <w:tr w:rsidR="004A1BD3" w:rsidRPr="00192CB7" w:rsidTr="00265213">
        <w:trPr>
          <w:trHeight w:val="166"/>
        </w:trPr>
        <w:tc>
          <w:tcPr>
            <w:tcW w:w="1254" w:type="dxa"/>
            <w:vMerge/>
          </w:tcPr>
          <w:p w:rsidR="004A1BD3" w:rsidRPr="00192CB7" w:rsidRDefault="004A1BD3" w:rsidP="00265213">
            <w:pPr>
              <w:pStyle w:val="1"/>
              <w:keepNext w:val="0"/>
              <w:widowControl w:val="0"/>
              <w:rPr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4A1BD3" w:rsidRPr="004A1BD3" w:rsidRDefault="004A1BD3" w:rsidP="00265213">
            <w:pPr>
              <w:pStyle w:val="2"/>
              <w:keepNext w:val="0"/>
              <w:widowControl w:val="0"/>
              <w:rPr>
                <w:b w:val="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A1BD3" w:rsidRDefault="004A1BD3" w:rsidP="004A1BD3">
      <w:pPr>
        <w:ind w:firstLine="0"/>
        <w:rPr>
          <w:szCs w:val="28"/>
          <w:lang w:val="en-US"/>
        </w:rPr>
      </w:pPr>
    </w:p>
    <w:p w:rsidR="00CD4E3D" w:rsidRDefault="00CD4E3D" w:rsidP="005047DD">
      <w:pPr>
        <w:ind w:firstLine="0"/>
        <w:rPr>
          <w:szCs w:val="28"/>
        </w:rPr>
      </w:pPr>
    </w:p>
    <w:p w:rsidR="005047DD" w:rsidRPr="00CD4E3D" w:rsidRDefault="00CD4E3D" w:rsidP="005047DD">
      <w:pPr>
        <w:ind w:firstLine="0"/>
        <w:rPr>
          <w:b/>
          <w:szCs w:val="28"/>
        </w:rPr>
      </w:pPr>
      <w:r w:rsidRPr="00CD4E3D">
        <w:rPr>
          <w:b/>
          <w:szCs w:val="28"/>
        </w:rPr>
        <w:t xml:space="preserve">Главният прокурор внесе в Конституционния съд искане за обявяване на </w:t>
      </w:r>
      <w:proofErr w:type="spellStart"/>
      <w:r w:rsidRPr="00CD4E3D">
        <w:rPr>
          <w:b/>
          <w:szCs w:val="28"/>
        </w:rPr>
        <w:t>противоконституционност</w:t>
      </w:r>
      <w:proofErr w:type="spellEnd"/>
      <w:r w:rsidRPr="00CD4E3D">
        <w:rPr>
          <w:b/>
          <w:szCs w:val="28"/>
        </w:rPr>
        <w:t xml:space="preserve"> на разпоредби от НПК и ЗСВ</w:t>
      </w:r>
    </w:p>
    <w:p w:rsidR="00CD4E3D" w:rsidRDefault="00CD4E3D" w:rsidP="005047DD">
      <w:pPr>
        <w:ind w:firstLine="0"/>
        <w:rPr>
          <w:szCs w:val="28"/>
        </w:rPr>
      </w:pPr>
    </w:p>
    <w:p w:rsidR="00CD4E3D" w:rsidRDefault="00CD4E3D" w:rsidP="005047D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 xml:space="preserve">Главният прокурор внесе в Конституционния съд искане за обявяване на </w:t>
      </w:r>
      <w:proofErr w:type="spellStart"/>
      <w:r w:rsidRPr="00CD4E3D">
        <w:rPr>
          <w:szCs w:val="28"/>
        </w:rPr>
        <w:t>противоконституционност</w:t>
      </w:r>
      <w:proofErr w:type="spellEnd"/>
      <w:r w:rsidRPr="00CD4E3D">
        <w:rPr>
          <w:szCs w:val="28"/>
        </w:rPr>
        <w:t xml:space="preserve"> на разпоредби от Наказателно-процесуалния кодекс (НПК) и Закона за съдебната власт (ЗСВ), свързани с отказите за образуване на досъдебни производства, механизма за независимо разследване на главния прокурор и избора на членове на Висшия съдебен съвет (ВСС).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 xml:space="preserve">Изложени са подробни аргументи за </w:t>
      </w:r>
      <w:proofErr w:type="spellStart"/>
      <w:r w:rsidRPr="00CD4E3D">
        <w:rPr>
          <w:szCs w:val="28"/>
        </w:rPr>
        <w:t>противоконституционност</w:t>
      </w:r>
      <w:proofErr w:type="spellEnd"/>
      <w:r w:rsidRPr="00CD4E3D">
        <w:rPr>
          <w:szCs w:val="28"/>
        </w:rPr>
        <w:t>, част от които са следните: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Въвеждането на съдебен контрол за голяма част от отказите на прокурора за образуване на досъдебно производство накърнява отредената от Конституцията роля на съда да бъде независим арбитър и да осигури равенство на страните и състезателност в съдебния процес. Това ще доведе и до недопустимо накърняване на правомощието на прокурора суверенно и независимо да реши дали да образува или да откаже започване на  разследване. Съдът ще навлезе във функции на прокурора и ще засегне възможността му да вземе решението си по вътрешно убеждение, а в  една правова държава е недопустимо държавен орган да изземва правомощия на друг.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С въвеждането на съдебен контрол по отношение на отказите от  образуване на досъдебно производство само за определена категория престъпления, а не по отношение на всички, се нарушава и основният конституционен принцип за равенство на гражданите пред закона.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Разпоредбите на НПК, с които се въвежда механизъм за независимо разследване на главния прокурор, не са съобразени със становищата и препоръките на Венецианската комисия, с основни принципи на Конституцията и с практиката на КС, който вече два пъти се е произнасял</w:t>
      </w:r>
      <w:r>
        <w:rPr>
          <w:szCs w:val="28"/>
        </w:rPr>
        <w:t xml:space="preserve"> </w:t>
      </w:r>
      <w:r w:rsidRPr="00CD4E3D">
        <w:rPr>
          <w:szCs w:val="28"/>
        </w:rPr>
        <w:t xml:space="preserve">относно отговорността на главния прокурор с решение № 11 от </w:t>
      </w:r>
      <w:r w:rsidRPr="00CD4E3D">
        <w:rPr>
          <w:szCs w:val="28"/>
        </w:rPr>
        <w:lastRenderedPageBreak/>
        <w:t>23.07.2020г.</w:t>
      </w:r>
      <w:r>
        <w:rPr>
          <w:szCs w:val="28"/>
        </w:rPr>
        <w:t xml:space="preserve"> </w:t>
      </w:r>
      <w:r w:rsidRPr="00CD4E3D">
        <w:rPr>
          <w:szCs w:val="28"/>
        </w:rPr>
        <w:t xml:space="preserve"> на КС по к.д.№15 от 2019 г. и с решение № 7 от 11.05.2021 г. по к. д. №4/2021 г.</w:t>
      </w:r>
    </w:p>
    <w:p w:rsid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Съгласно тези решения без изрична промяна в основния закон е невъзможно да се създаде държавен орган, който да е част от прокуратурата и същевременно да е изключен от общия ред за контрол в нейната система. Към момента съгласно действащото законодателство няма пречка срещу главния прокурор да се провежда независимо разследване.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С измененията в НПК е предвиден ред, различен от общия, за започване на разследване срещу главния прокурор, който го поставя в по-неблагоприятно положение от всички останали граждани – достатъчен е само законен повод, но не и достатъчно данни за извършено престъпление. Създават се ограничения на базата на общественото му положение, а в конституцията изрично е посочено, че не се допускат „никакви ограничения“ на правата на гражданите.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 xml:space="preserve">В искането до КС се посочва, че е недопустимо да се създава специална </w:t>
      </w:r>
      <w:proofErr w:type="spellStart"/>
      <w:r w:rsidRPr="00CD4E3D">
        <w:rPr>
          <w:szCs w:val="28"/>
        </w:rPr>
        <w:t>наказателнопроцесуална</w:t>
      </w:r>
      <w:proofErr w:type="spellEnd"/>
      <w:r w:rsidRPr="00CD4E3D">
        <w:rPr>
          <w:szCs w:val="28"/>
        </w:rPr>
        <w:t xml:space="preserve"> уредба, която да действа само спрямо конкретно лице.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В НПК (чл. 411б, ал. 5) се въвежда абсурдният принцип, че постановление за отказ да се образува досъдебно производство срещу главния прокурор, потвърдено от съда, не е пречка за образуване на такова производство при наличие на нови обстоятелства. В една правова държава подобно незачитане на стабилността на съдебното решение е недопустимо и  напълно обезсмисля съдебния контрол, се посочва в искането до Конституционния съд.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Прави впечатление, че „независимият прокурор по разследването“ няма да разполага със самостоятелен и независим разследващ апарат, а разследващите полицаи и митнически инспектори ще се определят съответно по преценка на министрите на вътрешните работи и на финансите.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 xml:space="preserve">Разследващият главния прокурор съдия ще бъде избиран по правилата за  случаен подбор измежду определена категория магистрати, но разследващите органи ще се определят от съответните министри - органи на изпълнителната власт, които са под политически контрол. Така се създава възможност за пряка намеса на изпълнителната власт в разследването срещу главния прокурор.  При това той може да бъде разследван от органи на изпълнителната власт, за разлика от всички </w:t>
      </w:r>
      <w:r w:rsidRPr="00CD4E3D">
        <w:rPr>
          <w:szCs w:val="28"/>
        </w:rPr>
        <w:lastRenderedPageBreak/>
        <w:t xml:space="preserve">останали магистрати, които съгласно НПК се разследват от следователи. На практика по този начин се създава система от органи с белези на </w:t>
      </w:r>
      <w:proofErr w:type="spellStart"/>
      <w:r w:rsidRPr="00CD4E3D">
        <w:rPr>
          <w:szCs w:val="28"/>
        </w:rPr>
        <w:t>извънредност</w:t>
      </w:r>
      <w:proofErr w:type="spellEnd"/>
      <w:r w:rsidRPr="00CD4E3D">
        <w:rPr>
          <w:szCs w:val="28"/>
        </w:rPr>
        <w:t>, игнорира се и принципът за случайния подбор при разпределение на делата и преписките.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P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С измененията в Закона за съдебната власт се въвежда различен ред за избор и за освобождаване на председателите на ВКС и ВАС и на главния прокурор от Пленума на ВСС - за тях с мнозинство от 17 гласа, а за главния прокурор - с 13 гласа. Такава неравнопоставеност е недопустима за всяка правова държава. Конституцията повелява вземането на кадрови решения и за тримата висши представители на съдебната власт да се извършва с квалифицирано мнозинство като израз и гаранция за спазване на принципа на правната сигурност в държавата.</w:t>
      </w:r>
    </w:p>
    <w:p w:rsidR="00CD4E3D" w:rsidRPr="00CD4E3D" w:rsidRDefault="00CD4E3D" w:rsidP="00CD4E3D">
      <w:pPr>
        <w:ind w:firstLine="0"/>
        <w:rPr>
          <w:szCs w:val="28"/>
        </w:rPr>
      </w:pPr>
    </w:p>
    <w:p w:rsidR="00CD4E3D" w:rsidRDefault="00CD4E3D" w:rsidP="00CD4E3D">
      <w:pPr>
        <w:ind w:firstLine="0"/>
        <w:rPr>
          <w:szCs w:val="28"/>
        </w:rPr>
      </w:pPr>
      <w:r w:rsidRPr="00CD4E3D">
        <w:rPr>
          <w:szCs w:val="28"/>
        </w:rPr>
        <w:t>На Конституцията противоречат и измененията в преходните и заключителни разпоредби на ЗСВ, които засягат избора на членовете на Висшия съдебен съвет от професионалната квота. На практика с тях се анулира</w:t>
      </w:r>
      <w:r w:rsidR="0037534A">
        <w:rPr>
          <w:szCs w:val="28"/>
        </w:rPr>
        <w:t>т</w:t>
      </w:r>
      <w:bookmarkStart w:id="0" w:name="_GoBack"/>
      <w:bookmarkEnd w:id="0"/>
      <w:r w:rsidRPr="00CD4E3D">
        <w:rPr>
          <w:szCs w:val="28"/>
        </w:rPr>
        <w:t xml:space="preserve"> взети в съответствие със закона решения на общите събрания на съдиите, прокурорите и следователите в периода 4 юни - 9 юли 2022 г., както и влезли в сила решения на 5-членни смесени състави на ВКС и на ВАС относно проведените избори.  По този начин законодателната власт изземва управленски функции на съдебната власт, нарушава разделението на властите и се намесва в независимата съдебна власт.</w:t>
      </w:r>
    </w:p>
    <w:sectPr w:rsidR="00CD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D3"/>
    <w:rsid w:val="000624FF"/>
    <w:rsid w:val="00124BEA"/>
    <w:rsid w:val="001F25CE"/>
    <w:rsid w:val="0037534A"/>
    <w:rsid w:val="004A1BD3"/>
    <w:rsid w:val="005047DD"/>
    <w:rsid w:val="00697980"/>
    <w:rsid w:val="00B42009"/>
    <w:rsid w:val="00B95557"/>
    <w:rsid w:val="00C37424"/>
    <w:rsid w:val="00C54FD2"/>
    <w:rsid w:val="00CD4E3D"/>
    <w:rsid w:val="00E50B7B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D3"/>
    <w:pPr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4A1BD3"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1BD3"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1BD3"/>
    <w:rPr>
      <w:rFonts w:eastAsia="Times New Roman" w:cs="Times New Roman"/>
      <w:b/>
      <w:bCs/>
      <w:szCs w:val="20"/>
    </w:rPr>
  </w:style>
  <w:style w:type="character" w:customStyle="1" w:styleId="20">
    <w:name w:val="Заглавие 2 Знак"/>
    <w:basedOn w:val="a0"/>
    <w:link w:val="2"/>
    <w:rsid w:val="004A1BD3"/>
    <w:rPr>
      <w:rFonts w:eastAsia="Times New Roman" w:cs="Times New Roman"/>
      <w:b/>
      <w:bCs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1BD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1BD3"/>
    <w:rPr>
      <w:rFonts w:ascii="Tahoma" w:eastAsia="Times New Roman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uiPriority w:val="9"/>
    <w:semiHidden/>
    <w:rsid w:val="004A1BD3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a5">
    <w:name w:val="Normal (Web)"/>
    <w:basedOn w:val="a"/>
    <w:uiPriority w:val="99"/>
    <w:semiHidden/>
    <w:unhideWhenUsed/>
    <w:rsid w:val="004A1BD3"/>
    <w:pPr>
      <w:spacing w:before="100" w:beforeAutospacing="1" w:after="100" w:afterAutospacing="1"/>
      <w:ind w:firstLine="0"/>
      <w:jc w:val="left"/>
    </w:pPr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D3"/>
    <w:pPr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4A1BD3"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1BD3"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1BD3"/>
    <w:rPr>
      <w:rFonts w:eastAsia="Times New Roman" w:cs="Times New Roman"/>
      <w:b/>
      <w:bCs/>
      <w:szCs w:val="20"/>
    </w:rPr>
  </w:style>
  <w:style w:type="character" w:customStyle="1" w:styleId="20">
    <w:name w:val="Заглавие 2 Знак"/>
    <w:basedOn w:val="a0"/>
    <w:link w:val="2"/>
    <w:rsid w:val="004A1BD3"/>
    <w:rPr>
      <w:rFonts w:eastAsia="Times New Roman" w:cs="Times New Roman"/>
      <w:b/>
      <w:bCs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1BD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1BD3"/>
    <w:rPr>
      <w:rFonts w:ascii="Tahoma" w:eastAsia="Times New Roman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uiPriority w:val="9"/>
    <w:semiHidden/>
    <w:rsid w:val="004A1BD3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a5">
    <w:name w:val="Normal (Web)"/>
    <w:basedOn w:val="a"/>
    <w:uiPriority w:val="99"/>
    <w:semiHidden/>
    <w:unhideWhenUsed/>
    <w:rsid w:val="004A1BD3"/>
    <w:pPr>
      <w:spacing w:before="100" w:beforeAutospacing="1" w:after="100" w:afterAutospacing="1"/>
      <w:ind w:firstLine="0"/>
      <w:jc w:val="left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2023-06-05T11:34:00Z</dcterms:created>
  <dcterms:modified xsi:type="dcterms:W3CDTF">2023-06-05T11:34:00Z</dcterms:modified>
</cp:coreProperties>
</file>