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3A" w:rsidRDefault="009A2A3A" w:rsidP="009A2A3A">
      <w:pPr>
        <w:shd w:val="clear" w:color="auto" w:fill="FFFFFF"/>
        <w:spacing w:after="0"/>
        <w:jc w:val="both"/>
        <w:rPr>
          <w:rFonts w:ascii="Tahoma" w:hAnsi="Tahoma" w:cs="Tahoma"/>
          <w:b/>
          <w:color w:val="222222"/>
          <w:sz w:val="24"/>
          <w:szCs w:val="24"/>
        </w:rPr>
      </w:pPr>
      <w:r>
        <w:rPr>
          <w:rFonts w:ascii="Tahoma" w:hAnsi="Tahoma" w:cs="Tahoma"/>
          <w:b/>
          <w:color w:val="222222"/>
          <w:sz w:val="24"/>
          <w:szCs w:val="24"/>
        </w:rPr>
        <w:t xml:space="preserve">Петчленен състав на ВАС отхвърли искане на КТБ чрез бившите й изпълнителни директори за отмяна на определения във връзка с решението на ЕСПЧ </w:t>
      </w:r>
    </w:p>
    <w:p w:rsidR="009A2A3A" w:rsidRDefault="009A2A3A" w:rsidP="009A2A3A">
      <w:pPr>
        <w:shd w:val="clear" w:color="auto" w:fill="FFFFFF"/>
        <w:spacing w:after="0"/>
        <w:jc w:val="both"/>
        <w:rPr>
          <w:rFonts w:ascii="Tahoma" w:hAnsi="Tahoma" w:cs="Tahoma"/>
          <w:b/>
          <w:color w:val="222222"/>
          <w:sz w:val="24"/>
          <w:szCs w:val="24"/>
        </w:rPr>
      </w:pPr>
    </w:p>
    <w:p w:rsidR="009A2A3A" w:rsidRDefault="009A2A3A" w:rsidP="009A2A3A">
      <w:pPr>
        <w:shd w:val="clear" w:color="auto" w:fill="FFFFFF"/>
        <w:spacing w:after="0" w:line="240" w:lineRule="auto"/>
        <w:ind w:firstLine="708"/>
        <w:jc w:val="both"/>
        <w:rPr>
          <w:rFonts w:ascii="Tahoma" w:eastAsiaTheme="minorHAnsi" w:hAnsi="Tahoma" w:cs="Tahoma"/>
          <w:bCs/>
          <w:color w:val="000000" w:themeColor="text1"/>
          <w:lang w:eastAsia="en-US"/>
        </w:rPr>
      </w:pPr>
      <w:r>
        <w:rPr>
          <w:rFonts w:ascii="Tahoma" w:hAnsi="Tahoma" w:cs="Tahoma"/>
          <w:color w:val="222222"/>
        </w:rPr>
        <w:t xml:space="preserve">Петчленен състав на Върховния административен съд (ВАС) отхвърли искане на Корпоративна търговска банка (КТБ) АД (в несъстоятелност) за отмяна на определение </w:t>
      </w:r>
      <w:r>
        <w:rPr>
          <w:rFonts w:ascii="Tahoma" w:hAnsi="Tahoma" w:cs="Tahoma"/>
          <w:bCs/>
          <w:color w:val="000000" w:themeColor="text1"/>
        </w:rPr>
        <w:t xml:space="preserve">№ 193/08.01.2015 г., постановено по административно дело № 15406/2014 г. на ВАС </w:t>
      </w:r>
      <w:r>
        <w:rPr>
          <w:rFonts w:ascii="Tahoma" w:hAnsi="Tahoma" w:cs="Tahoma"/>
          <w:bCs/>
          <w:color w:val="000000" w:themeColor="text1"/>
          <w:lang w:val="en-US"/>
        </w:rPr>
        <w:t>(</w:t>
      </w:r>
      <w:r>
        <w:rPr>
          <w:rFonts w:ascii="Tahoma" w:hAnsi="Tahoma" w:cs="Tahoma"/>
          <w:bCs/>
          <w:color w:val="000000" w:themeColor="text1"/>
        </w:rPr>
        <w:t>оставено в сила с определение № 4020/08.04.2015 г., постановено по административно дело № 1696/2015 г. на ВАС</w:t>
      </w:r>
      <w:r>
        <w:rPr>
          <w:rFonts w:ascii="Tahoma" w:hAnsi="Tahoma" w:cs="Tahoma"/>
          <w:bCs/>
          <w:color w:val="000000" w:themeColor="text1"/>
          <w:lang w:val="en-US"/>
        </w:rPr>
        <w:t>).</w:t>
      </w:r>
    </w:p>
    <w:p w:rsidR="009A2A3A" w:rsidRDefault="009A2A3A" w:rsidP="009A2A3A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color w:val="000000" w:themeColor="text1"/>
        </w:rPr>
        <w:t xml:space="preserve">Административно дело № </w:t>
      </w:r>
      <w:r>
        <w:rPr>
          <w:rFonts w:ascii="Tahoma" w:hAnsi="Tahoma" w:cs="Tahoma"/>
          <w:shd w:val="clear" w:color="auto" w:fill="FFFFFF"/>
        </w:rPr>
        <w:t>1670/2023 г. е образувано пред ВАС по искане за отмяна на основание чл.</w:t>
      </w:r>
      <w:r>
        <w:rPr>
          <w:rFonts w:ascii="Tahoma" w:hAnsi="Tahoma" w:cs="Tahoma"/>
        </w:rPr>
        <w:t xml:space="preserve"> </w:t>
      </w:r>
      <w:hyperlink r:id="rId8" w:history="1">
        <w:r w:rsidRPr="009A2A3A">
          <w:rPr>
            <w:rStyle w:val="a9"/>
            <w:rFonts w:ascii="Tahoma" w:hAnsi="Tahoma" w:cs="Tahoma"/>
            <w:color w:val="auto"/>
            <w:sz w:val="24"/>
            <w:szCs w:val="24"/>
            <w:u w:val="none"/>
          </w:rPr>
          <w:t xml:space="preserve">чл. 239, т. 6 от </w:t>
        </w:r>
        <w:proofErr w:type="spellStart"/>
        <w:r w:rsidRPr="009A2A3A">
          <w:rPr>
            <w:rStyle w:val="a9"/>
            <w:rFonts w:ascii="Tahoma" w:hAnsi="Tahoma" w:cs="Tahoma"/>
            <w:color w:val="auto"/>
            <w:sz w:val="24"/>
            <w:szCs w:val="24"/>
            <w:u w:val="none"/>
          </w:rPr>
          <w:t>Административнопроцесуалния</w:t>
        </w:r>
        <w:proofErr w:type="spellEnd"/>
        <w:r w:rsidRPr="009A2A3A">
          <w:rPr>
            <w:rStyle w:val="a9"/>
            <w:rFonts w:ascii="Tahoma" w:hAnsi="Tahoma" w:cs="Tahoma"/>
            <w:color w:val="auto"/>
            <w:sz w:val="24"/>
            <w:szCs w:val="24"/>
            <w:u w:val="none"/>
          </w:rPr>
          <w:t xml:space="preserve"> кодекс</w:t>
        </w:r>
      </w:hyperlink>
      <w:r w:rsidRPr="009A2A3A">
        <w:rPr>
          <w:rFonts w:ascii="Tahoma" w:hAnsi="Tahoma" w:cs="Tahoma"/>
          <w:sz w:val="24"/>
          <w:szCs w:val="24"/>
        </w:rPr>
        <w:t>. Молбата е</w:t>
      </w:r>
      <w:r>
        <w:rPr>
          <w:rStyle w:val="a9"/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 xml:space="preserve">подадена от КТБ, представлявана от </w:t>
      </w:r>
      <w:r>
        <w:rPr>
          <w:rFonts w:ascii="Tahoma" w:hAnsi="Tahoma" w:cs="Tahoma"/>
        </w:rPr>
        <w:t xml:space="preserve">бившите изпълнителни директори на банката Илиан Зафиров, Георги Христов и Александър Панталеев. Основанието </w:t>
      </w:r>
      <w:r>
        <w:rPr>
          <w:rFonts w:ascii="Tahoma" w:hAnsi="Tahoma" w:cs="Tahoma"/>
          <w:bCs/>
          <w:color w:val="000000" w:themeColor="text1"/>
        </w:rPr>
        <w:t>е</w:t>
      </w:r>
      <w:r>
        <w:rPr>
          <w:rFonts w:ascii="Tahoma" w:hAnsi="Tahoma" w:cs="Tahoma"/>
          <w:color w:val="000000"/>
        </w:rPr>
        <w:t xml:space="preserve"> решението на </w:t>
      </w:r>
      <w:r>
        <w:rPr>
          <w:rFonts w:ascii="Tahoma" w:hAnsi="Tahoma" w:cs="Tahoma"/>
        </w:rPr>
        <w:t>Европейския съд по правата на човека (ЕСПЧ) по делото "Корпоративна търговска банка АД срещу България" от 05.07.2022 г.,</w:t>
      </w:r>
      <w:r>
        <w:rPr>
          <w:rFonts w:ascii="Tahoma" w:hAnsi="Tahoma" w:cs="Tahoma"/>
          <w:color w:val="000000"/>
        </w:rPr>
        <w:t xml:space="preserve"> станало окончателно на </w:t>
      </w:r>
      <w:r>
        <w:rPr>
          <w:rFonts w:ascii="Tahoma" w:hAnsi="Tahoma" w:cs="Tahoma"/>
        </w:rPr>
        <w:t xml:space="preserve">30.01.2023 г. </w:t>
      </w:r>
      <w:bookmarkStart w:id="0" w:name="_GoBack"/>
      <w:bookmarkEnd w:id="0"/>
    </w:p>
    <w:p w:rsidR="009A2A3A" w:rsidRDefault="009A2A3A" w:rsidP="009A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bCs/>
          <w:color w:val="000000" w:themeColor="text1"/>
        </w:rPr>
        <w:t xml:space="preserve">С определението, чиято отмяна се иска, ВАС е оставил без разглеждане </w:t>
      </w:r>
      <w:r>
        <w:rPr>
          <w:rFonts w:ascii="Tahoma" w:hAnsi="Tahoma" w:cs="Tahoma"/>
          <w:color w:val="000000"/>
        </w:rPr>
        <w:t xml:space="preserve">жалбите на две физически лица - акционери и на  тримата бивши изпълнителни директори на КТБ срещу </w:t>
      </w:r>
      <w:r>
        <w:rPr>
          <w:rFonts w:ascii="Tahoma" w:hAnsi="Tahoma" w:cs="Tahoma"/>
          <w:b/>
          <w:color w:val="000000"/>
        </w:rPr>
        <w:t>Решение № 137 от 06.11.2014 г.</w:t>
      </w:r>
      <w:r>
        <w:rPr>
          <w:rFonts w:ascii="Tahoma" w:hAnsi="Tahoma" w:cs="Tahoma"/>
          <w:color w:val="000000"/>
        </w:rPr>
        <w:t xml:space="preserve">, издадено от Управителния съвет на БНБ, с което е отнето разрешението, издадено със Заповед № БНБ – 43011 от 28.03.2014 г. на подуправителя на БНБ, ръководещ Управление „Банков надзор“, на КТБ АД, да включи в капитала си от втори ред, сумата в размер на левовата равностойност на 35000000 евро, привлечена по силата на договор за предоставяне на заем под формата на подчинен срочен дълг, сключен на 24.03.2014 г. между банката, в качеството й на </w:t>
      </w:r>
      <w:proofErr w:type="spellStart"/>
      <w:r>
        <w:rPr>
          <w:rFonts w:ascii="Tahoma" w:hAnsi="Tahoma" w:cs="Tahoma"/>
          <w:color w:val="000000"/>
        </w:rPr>
        <w:t>заемател</w:t>
      </w:r>
      <w:proofErr w:type="spellEnd"/>
      <w:r>
        <w:rPr>
          <w:rFonts w:ascii="Tahoma" w:hAnsi="Tahoma" w:cs="Tahoma"/>
          <w:color w:val="000000"/>
        </w:rPr>
        <w:t xml:space="preserve"> и „Технологичен център – Институт по микроелектроника“ АД, в качеството на заемодател.</w:t>
      </w:r>
    </w:p>
    <w:p w:rsidR="009A2A3A" w:rsidRDefault="009A2A3A" w:rsidP="009A2A3A">
      <w:pPr>
        <w:pStyle w:val="ab"/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По допустимостта на молбата за отмяна</w:t>
      </w:r>
      <w:r>
        <w:rPr>
          <w:rFonts w:ascii="Tahoma" w:hAnsi="Tahoma" w:cs="Tahoma"/>
        </w:rPr>
        <w:t xml:space="preserve">, петчленният състав на ВАС,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приема че не е доказана една от кумулативните предпоставки за допустимост на искане за отмяна на това основание, а именно: искането да е подадено от страна по делото в редовния процес. КТБ АД не е била страна в процеса по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адм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.д.№ </w:t>
      </w:r>
      <w:r>
        <w:rPr>
          <w:rFonts w:ascii="Tahoma" w:hAnsi="Tahoma" w:cs="Tahoma"/>
          <w:bCs/>
          <w:color w:val="000000" w:themeColor="text1"/>
        </w:rPr>
        <w:t xml:space="preserve">15406/2014 г. по описа на ВАС. Редовният процес е започнал по две жалби, едната от които, подадена от бившите изпълнителни директори, уточнена с представена на </w:t>
      </w:r>
      <w:r>
        <w:rPr>
          <w:rFonts w:ascii="Tahoma" w:hAnsi="Tahoma" w:cs="Tahoma"/>
          <w:color w:val="000000" w:themeColor="text1"/>
        </w:rPr>
        <w:t xml:space="preserve">03.12.2014 г. изрична молба на процесуалния им представител, че са предявили жалбата в качеството си на физически лица, в защита на свои лични права. Петчленният състав съобразява и уточняващата молба от 27.02.2015г. на бившите изпълнителни директори по </w:t>
      </w:r>
      <w:proofErr w:type="spellStart"/>
      <w:r>
        <w:rPr>
          <w:rFonts w:ascii="Tahoma" w:hAnsi="Tahoma" w:cs="Tahoma"/>
          <w:color w:val="000000" w:themeColor="text1"/>
        </w:rPr>
        <w:t>адм</w:t>
      </w:r>
      <w:proofErr w:type="spellEnd"/>
      <w:r>
        <w:rPr>
          <w:rFonts w:ascii="Tahoma" w:hAnsi="Tahoma" w:cs="Tahoma"/>
          <w:color w:val="000000" w:themeColor="text1"/>
        </w:rPr>
        <w:t>.</w:t>
      </w:r>
      <w:r>
        <w:rPr>
          <w:rFonts w:ascii="Tahoma" w:hAnsi="Tahoma" w:cs="Tahoma"/>
          <w:color w:val="000000" w:themeColor="text1"/>
          <w:lang w:val="en-US"/>
        </w:rPr>
        <w:t xml:space="preserve"> </w:t>
      </w:r>
      <w:r>
        <w:rPr>
          <w:rFonts w:ascii="Tahoma" w:hAnsi="Tahoma" w:cs="Tahoma"/>
          <w:color w:val="000000" w:themeColor="text1"/>
        </w:rPr>
        <w:t>д</w:t>
      </w:r>
      <w:r>
        <w:rPr>
          <w:rFonts w:ascii="Tahoma" w:hAnsi="Tahoma" w:cs="Tahoma"/>
          <w:color w:val="000000" w:themeColor="text1"/>
          <w:lang w:val="en-US"/>
        </w:rPr>
        <w:t>e</w:t>
      </w:r>
      <w:proofErr w:type="spellStart"/>
      <w:r>
        <w:rPr>
          <w:rFonts w:ascii="Tahoma" w:hAnsi="Tahoma" w:cs="Tahoma"/>
          <w:color w:val="000000" w:themeColor="text1"/>
        </w:rPr>
        <w:t>ло</w:t>
      </w:r>
      <w:proofErr w:type="spellEnd"/>
      <w:r>
        <w:rPr>
          <w:rFonts w:ascii="Tahoma" w:hAnsi="Tahoma" w:cs="Tahoma"/>
          <w:color w:val="000000" w:themeColor="text1"/>
        </w:rPr>
        <w:t xml:space="preserve"> № </w:t>
      </w:r>
      <w:r>
        <w:rPr>
          <w:rFonts w:ascii="Tahoma" w:hAnsi="Tahoma" w:cs="Tahoma"/>
          <w:bCs/>
          <w:color w:val="000000" w:themeColor="text1"/>
        </w:rPr>
        <w:t xml:space="preserve">4020/08.04.2015 г. на ВАС, </w:t>
      </w:r>
      <w:r>
        <w:rPr>
          <w:rFonts w:ascii="Tahoma" w:hAnsi="Tahoma" w:cs="Tahoma"/>
          <w:color w:val="000000"/>
        </w:rPr>
        <w:t xml:space="preserve">че са депозирали частната жалба, инициирала настоящото производство, </w:t>
      </w:r>
      <w:r>
        <w:rPr>
          <w:rFonts w:ascii="Tahoma" w:hAnsi="Tahoma" w:cs="Tahoma"/>
          <w:color w:val="000000" w:themeColor="text1"/>
        </w:rPr>
        <w:t>в качеството си на физически лица и в техен собствен интерес.</w:t>
      </w:r>
      <w:r>
        <w:rPr>
          <w:rFonts w:ascii="Tahoma" w:hAnsi="Tahoma" w:cs="Tahoma"/>
          <w:color w:val="000000" w:themeColor="text1"/>
          <w:lang w:val="en-US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Петчленният състав приема, че дори да се приеме, че редовният процес по оспорване на </w:t>
      </w:r>
      <w:r>
        <w:rPr>
          <w:rFonts w:ascii="Tahoma" w:hAnsi="Tahoma" w:cs="Tahoma"/>
          <w:b/>
          <w:color w:val="000000"/>
        </w:rPr>
        <w:t>Решение № 137 от 06.11.2014 г.</w:t>
      </w:r>
      <w:r>
        <w:rPr>
          <w:rFonts w:ascii="Tahoma" w:hAnsi="Tahoma" w:cs="Tahoma"/>
          <w:color w:val="000000"/>
        </w:rPr>
        <w:t>, издадено от Управителния съвет на БНБ, е започнал от името на банката (за което няма убедителни основания), молбата за отмяна е неоснователна по същество.</w:t>
      </w:r>
    </w:p>
    <w:p w:rsidR="009A2A3A" w:rsidRDefault="009A2A3A" w:rsidP="009A2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/>
        </w:rPr>
        <w:t xml:space="preserve">Петчленният състав приема, че </w:t>
      </w:r>
      <w:r>
        <w:rPr>
          <w:rFonts w:ascii="Tahoma" w:hAnsi="Tahoma" w:cs="Tahoma"/>
          <w:shd w:val="clear" w:color="auto" w:fill="FFFFFF"/>
        </w:rPr>
        <w:t xml:space="preserve">решението на ЕСПЧ по делото </w:t>
      </w:r>
      <w:r>
        <w:rPr>
          <w:rFonts w:ascii="Tahoma" w:hAnsi="Tahoma" w:cs="Tahoma"/>
        </w:rPr>
        <w:t xml:space="preserve">"Корпоративна търговска банка АД срещу България" </w:t>
      </w:r>
      <w:r>
        <w:rPr>
          <w:rFonts w:ascii="Tahoma" w:hAnsi="Tahoma" w:cs="Tahoma"/>
          <w:shd w:val="clear" w:color="auto" w:fill="FFFFFF"/>
        </w:rPr>
        <w:t>не може да послужи като основание за отмяна на съдебните актове, предмет на искането по административно дело № 1670/2023г. на ВАС.  Причината е, че с</w:t>
      </w:r>
      <w:r>
        <w:rPr>
          <w:rFonts w:ascii="Tahoma" w:hAnsi="Tahoma" w:cs="Tahoma"/>
          <w:color w:val="000000" w:themeColor="text1"/>
        </w:rPr>
        <w:t xml:space="preserve"> представеното към молбата за отмяна Решение на ЕСПЧ е установено нарушение на чл. 6, § 1 от Европейската конвенция за правата на човека и основните свободи </w:t>
      </w:r>
      <w:r>
        <w:rPr>
          <w:rFonts w:ascii="Tahoma" w:hAnsi="Tahoma" w:cs="Tahoma"/>
          <w:color w:val="000000" w:themeColor="text1"/>
          <w:lang w:val="en-US"/>
        </w:rPr>
        <w:t>(E</w:t>
      </w:r>
      <w:r>
        <w:rPr>
          <w:rFonts w:ascii="Tahoma" w:hAnsi="Tahoma" w:cs="Tahoma"/>
          <w:color w:val="000000" w:themeColor="text1"/>
        </w:rPr>
        <w:t>КПЧОС</w:t>
      </w:r>
      <w:r>
        <w:rPr>
          <w:rFonts w:ascii="Tahoma" w:hAnsi="Tahoma" w:cs="Tahoma"/>
          <w:color w:val="000000" w:themeColor="text1"/>
          <w:lang w:val="en-US"/>
        </w:rPr>
        <w:t>)</w:t>
      </w:r>
      <w:r>
        <w:rPr>
          <w:rFonts w:ascii="Tahoma" w:hAnsi="Tahoma" w:cs="Tahoma"/>
          <w:color w:val="000000" w:themeColor="text1"/>
        </w:rPr>
        <w:t xml:space="preserve"> в производството по обжалване на </w:t>
      </w:r>
      <w:r>
        <w:rPr>
          <w:rFonts w:ascii="Tahoma" w:hAnsi="Tahoma" w:cs="Tahoma"/>
          <w:b/>
          <w:color w:val="000000" w:themeColor="text1"/>
        </w:rPr>
        <w:t xml:space="preserve">Решение № </w:t>
      </w:r>
      <w:r>
        <w:rPr>
          <w:rFonts w:ascii="Tahoma" w:hAnsi="Tahoma" w:cs="Tahoma"/>
          <w:b/>
          <w:color w:val="000000" w:themeColor="text1"/>
        </w:rPr>
        <w:lastRenderedPageBreak/>
        <w:t xml:space="preserve">138/06.11.2014 г. </w:t>
      </w:r>
      <w:r>
        <w:rPr>
          <w:rFonts w:ascii="Tahoma" w:hAnsi="Tahoma" w:cs="Tahoma"/>
          <w:color w:val="000000" w:themeColor="text1"/>
        </w:rPr>
        <w:t xml:space="preserve">То е прието от УС на БНБ по Протокол № 27 от заседание на 06.11.2014 г., с което е отнет лиценза на „КТБ“ АД за извършване на банкова дейност. Решение № 138/06.11.2014 г. на УС на БНБ обаче не е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било предмет на производството, приключило със съдебния акт, чиято отмяна се иска. </w:t>
      </w:r>
    </w:p>
    <w:p w:rsidR="009A2A3A" w:rsidRDefault="009A2A3A" w:rsidP="009A2A3A">
      <w:pPr>
        <w:pStyle w:val="ac"/>
        <w:spacing w:before="0" w:beforeAutospacing="0" w:after="0" w:afterAutospacing="0"/>
        <w:ind w:firstLine="708"/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С представеното към молбата за отмяна решение на </w:t>
      </w:r>
      <w:r w:rsidRPr="009A2A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ЕСПЧ по делото "Корпоративна търговска банка АД срещу България" е установено нарушение на чл. 6, § 1 от КЗПЧОС в производствата по обжалване на Решение № 138/06.11.2014 г., прието от УС на БНБ по Протокол № 27 от заседание на 06.11.2014 г., с което е отнет лиценза на „КТБ“ АД за извършване на банкова дейност. Решение № 138/06.11.2014 г. на УС на БНБ не е било предмет на производството по </w:t>
      </w:r>
      <w:proofErr w:type="spellStart"/>
      <w:r w:rsidRPr="009A2A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адм</w:t>
      </w:r>
      <w:proofErr w:type="spellEnd"/>
      <w:r w:rsidRPr="009A2A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.д. № 15406/2014г. на ВАС, по което е постановено Определение №193/08.01.2015г., оставено в сила с Определение № 4020 от 08.04.2015г., по </w:t>
      </w:r>
      <w:proofErr w:type="spellStart"/>
      <w:r w:rsidRPr="009A2A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адм</w:t>
      </w:r>
      <w:proofErr w:type="spellEnd"/>
      <w:r w:rsidRPr="009A2A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.д. №1696/2015 г., постановено от петчленен състав на ВАС, предмет на </w:t>
      </w:r>
      <w:proofErr w:type="spellStart"/>
      <w:r w:rsidRPr="009A2A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процесната</w:t>
      </w:r>
      <w:proofErr w:type="spellEnd"/>
      <w:r w:rsidRPr="009A2A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молба.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Следователно, решението на ЕСПЧ не може да послужи като основание за отмяна на съдебните актове, предмет на искането по настоящето дело. </w:t>
      </w:r>
    </w:p>
    <w:p w:rsidR="009A2A3A" w:rsidRDefault="009A2A3A" w:rsidP="009A2A3A">
      <w:pPr>
        <w:pStyle w:val="ab"/>
        <w:ind w:firstLine="708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Решението на ЕСПЧ следва да се съобразява с </w:t>
      </w:r>
      <w:proofErr w:type="spellStart"/>
      <w:r>
        <w:rPr>
          <w:rFonts w:ascii="Tahoma" w:hAnsi="Tahoma" w:cs="Tahoma"/>
          <w:shd w:val="clear" w:color="auto" w:fill="FFFFFF"/>
        </w:rPr>
        <w:t>последващи</w:t>
      </w:r>
      <w:proofErr w:type="spellEnd"/>
      <w:r>
        <w:rPr>
          <w:rFonts w:ascii="Tahoma" w:hAnsi="Tahoma" w:cs="Tahoma"/>
          <w:shd w:val="clear" w:color="auto" w:fill="FFFFFF"/>
        </w:rPr>
        <w:t xml:space="preserve"> съдебни производства, но не е основание за отмяна на влезли в сила съдебни актове по отношение на оспорване на различни от Решение №138/06.11.2014 г. решения на УС на БНБ с оглед извънредния характер на производството за отмяна, изчерпателно изброените основания за това по чл. 239 от АПК и съдебната практика на ВАС.</w:t>
      </w:r>
    </w:p>
    <w:p w:rsidR="009A2A3A" w:rsidRDefault="009A2A3A" w:rsidP="009A2A3A">
      <w:pPr>
        <w:pStyle w:val="ac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Съгласно разпоредбата на </w:t>
      </w:r>
      <w:hyperlink r:id="rId9" w:history="1">
        <w:r>
          <w:rPr>
            <w:rStyle w:val="a9"/>
            <w:rFonts w:ascii="Tahoma" w:hAnsi="Tahoma" w:cs="Tahoma"/>
            <w:sz w:val="22"/>
            <w:szCs w:val="22"/>
            <w:shd w:val="clear" w:color="auto" w:fill="FFFFFF"/>
          </w:rPr>
          <w:t>чл. 239, т. 6 АПК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, влезлият в сила съдебен акт подлежи на отмяна, когато с решение на ЕСПЧ е установено нарушение на </w:t>
      </w:r>
      <w:hyperlink r:id="rId10" w:history="1">
        <w:r>
          <w:rPr>
            <w:rStyle w:val="a9"/>
            <w:rFonts w:ascii="Tahoma" w:hAnsi="Tahoma" w:cs="Tahoma"/>
            <w:sz w:val="22"/>
            <w:szCs w:val="22"/>
            <w:shd w:val="clear" w:color="auto" w:fill="FFFFFF"/>
          </w:rPr>
          <w:t>Конвенцията за защита на правата на човека и основните свободи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. В константната практика на ВАС се приема, че за да е налице основанието за отмяна по </w:t>
      </w:r>
      <w:hyperlink r:id="rId11" w:history="1">
        <w:r>
          <w:rPr>
            <w:rStyle w:val="a9"/>
            <w:rFonts w:ascii="Tahoma" w:hAnsi="Tahoma" w:cs="Tahoma"/>
            <w:sz w:val="22"/>
            <w:szCs w:val="22"/>
            <w:bdr w:val="none" w:sz="0" w:space="0" w:color="auto" w:frame="1"/>
            <w:shd w:val="clear" w:color="auto" w:fill="FFFFFF"/>
          </w:rPr>
          <w:t>чл. 239, т. 6 АПК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следва да е установено, с влязло в сила решение на ЕСПЧ, нарушение на </w:t>
      </w:r>
      <w:hyperlink r:id="rId12" w:history="1">
        <w:r>
          <w:rPr>
            <w:rStyle w:val="a9"/>
            <w:rFonts w:ascii="Tahoma" w:hAnsi="Tahoma" w:cs="Tahoma"/>
            <w:sz w:val="22"/>
            <w:szCs w:val="22"/>
            <w:shd w:val="clear" w:color="auto" w:fill="FFFFFF"/>
          </w:rPr>
          <w:t>Конвенцията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като това нарушение следва да е свързано с конкретното съдебно производство, по което е постановен актът, чиято отмяна се иска. В този смисъл са Решение № 2517 от 18.02.2020 г. на ВАС по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адм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 д. № 13663/2019 г.; Решение № 13975 от 12.11.2020 г. на ВАС по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адм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 д. № 566/2020 г.; Решение № 15566 от 15.12.2020 г. на ВАС по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адм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. д. № 6976/2020 г. и др.</w:t>
      </w:r>
    </w:p>
    <w:p w:rsidR="009A2A3A" w:rsidRDefault="009A2A3A" w:rsidP="009A2A3A">
      <w:pPr>
        <w:pStyle w:val="ac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Разпоредбата на чл.239, т.6 АПК визира не установено нарушение на Конвенцията изобщо. Необходимо е нарушението да е допуснато по отношение на лицето, което иска отмяна на влезлия в сила съдебен акт, както и отмяната да е необходима, за да се отстранят последиците от нарушението. Решението на ЕСПЧ е основание за отмяна по смисъла на чл. 239, т. 6 от АПК, само ако то обвързва българската държава и молителя по чл. 238, ал. 1 от АПК по конкретния казус, за който има влязъл в сила съдебен акт, чиято отмяна се иска. В случая решението на ЕСПЧ, с което да е установено допуснато нарушение на </w:t>
      </w:r>
      <w:hyperlink r:id="rId13" w:history="1">
        <w:r>
          <w:rPr>
            <w:rStyle w:val="a9"/>
            <w:rFonts w:ascii="Tahoma" w:hAnsi="Tahoma" w:cs="Tahoma"/>
            <w:sz w:val="22"/>
            <w:szCs w:val="22"/>
            <w:shd w:val="clear" w:color="auto" w:fill="FFFFFF"/>
          </w:rPr>
          <w:t>Конвенцията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по отношение на подателя на искането за отмяна по конкретното дело не е налице. </w:t>
      </w:r>
    </w:p>
    <w:p w:rsidR="009A2A3A" w:rsidRDefault="009A2A3A" w:rsidP="009A2A3A">
      <w:pPr>
        <w:pStyle w:val="ac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9A2A3A" w:rsidRDefault="009A2A3A" w:rsidP="009A2A3A">
      <w:pPr>
        <w:pStyle w:val="ac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7E37D7" w:rsidRPr="009A2A3A" w:rsidRDefault="007E37D7" w:rsidP="009A2A3A"/>
    <w:sectPr w:rsidR="007E37D7" w:rsidRPr="009A2A3A" w:rsidSect="005154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3" w:right="1417" w:bottom="851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36" w:rsidRDefault="00A71636" w:rsidP="009163CA">
      <w:pPr>
        <w:spacing w:after="0" w:line="240" w:lineRule="auto"/>
      </w:pPr>
      <w:r>
        <w:separator/>
      </w:r>
    </w:p>
  </w:endnote>
  <w:endnote w:type="continuationSeparator" w:id="0">
    <w:p w:rsidR="00A71636" w:rsidRDefault="00A71636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8C" w:rsidRDefault="008C0B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8C" w:rsidRDefault="008C0B8C" w:rsidP="009163CA">
    <w:pPr>
      <w:pStyle w:val="a5"/>
      <w:jc w:val="center"/>
    </w:pPr>
    <w:r>
      <w:rPr>
        <w:noProof/>
      </w:rPr>
      <w:drawing>
        <wp:inline distT="0" distB="0" distL="0" distR="0" wp14:anchorId="4ABA43D2" wp14:editId="66C8A2FB">
          <wp:extent cx="4610100" cy="28575"/>
          <wp:effectExtent l="0" t="0" r="0" b="9525"/>
          <wp:docPr id="2" name="Picture 3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B8C" w:rsidRDefault="008C0B8C" w:rsidP="009163CA">
    <w:pPr>
      <w:pStyle w:val="a5"/>
      <w:jc w:val="center"/>
    </w:pPr>
  </w:p>
  <w:p w:rsidR="008C0B8C" w:rsidRPr="00683E70" w:rsidRDefault="008C0B8C" w:rsidP="009163CA">
    <w:pPr>
      <w:pStyle w:val="a5"/>
      <w:jc w:val="center"/>
      <w:rPr>
        <w:rFonts w:ascii="Arial" w:hAnsi="Arial" w:cs="Arial"/>
        <w:lang w:val="ru-RU"/>
      </w:rPr>
    </w:pPr>
    <w:r w:rsidRPr="00B85F5E">
      <w:rPr>
        <w:rFonts w:ascii="Arial" w:hAnsi="Arial" w:cs="Arial"/>
      </w:rPr>
      <w:t>София, бул. „Александър Стамболийски” 18, тел. 94 04 4</w:t>
    </w:r>
    <w:r w:rsidRPr="00683E70">
      <w:rPr>
        <w:rFonts w:ascii="Arial" w:hAnsi="Arial" w:cs="Arial"/>
        <w:lang w:val="ru-RU"/>
      </w:rPr>
      <w:t>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8C" w:rsidRDefault="008C0B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36" w:rsidRDefault="00A71636" w:rsidP="009163CA">
      <w:pPr>
        <w:spacing w:after="0" w:line="240" w:lineRule="auto"/>
      </w:pPr>
      <w:r>
        <w:separator/>
      </w:r>
    </w:p>
  </w:footnote>
  <w:footnote w:type="continuationSeparator" w:id="0">
    <w:p w:rsidR="00A71636" w:rsidRDefault="00A71636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8C" w:rsidRDefault="008C0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8C" w:rsidRPr="00B85F5E" w:rsidRDefault="008C0B8C" w:rsidP="009163CA">
    <w:pPr>
      <w:pStyle w:val="a3"/>
      <w:jc w:val="center"/>
      <w:rPr>
        <w:rFonts w:ascii="Arial" w:hAnsi="Arial" w:cs="Arial"/>
        <w:color w:val="4F6228"/>
        <w:sz w:val="28"/>
        <w:szCs w:val="28"/>
      </w:rPr>
    </w:pPr>
    <w:r w:rsidRPr="00B85F5E">
      <w:rPr>
        <w:rFonts w:ascii="Arial" w:hAnsi="Arial" w:cs="Arial"/>
        <w:color w:val="4F6228"/>
        <w:sz w:val="28"/>
        <w:szCs w:val="28"/>
      </w:rPr>
      <w:t>РЕПУБЛИКА БЪЛГАРИЯ</w:t>
    </w:r>
  </w:p>
  <w:p w:rsidR="008C0B8C" w:rsidRPr="00B85F5E" w:rsidRDefault="008C0B8C" w:rsidP="00B85F5E">
    <w:pPr>
      <w:pStyle w:val="a3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ВЪРХОВЕН АДМИНИСТРАТИВЕН СЪД</w:t>
    </w:r>
  </w:p>
  <w:p w:rsidR="008C0B8C" w:rsidRPr="00B85F5E" w:rsidRDefault="008C0B8C" w:rsidP="00B85F5E">
    <w:pPr>
      <w:pStyle w:val="a3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13CE59A4" wp14:editId="6E51947C">
          <wp:extent cx="4610100" cy="847725"/>
          <wp:effectExtent l="0" t="0" r="0" b="9525"/>
          <wp:docPr id="1" name="Picture 2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B8C" w:rsidRDefault="008C0B8C" w:rsidP="009163C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8C" w:rsidRDefault="008C0B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A"/>
    <w:rsid w:val="00005A82"/>
    <w:rsid w:val="0001274B"/>
    <w:rsid w:val="000167C6"/>
    <w:rsid w:val="00024ABE"/>
    <w:rsid w:val="000251EB"/>
    <w:rsid w:val="000254FE"/>
    <w:rsid w:val="000265AE"/>
    <w:rsid w:val="00042CB9"/>
    <w:rsid w:val="00046522"/>
    <w:rsid w:val="00046A6F"/>
    <w:rsid w:val="00052CB6"/>
    <w:rsid w:val="00053B97"/>
    <w:rsid w:val="000859DA"/>
    <w:rsid w:val="0009075F"/>
    <w:rsid w:val="000958A5"/>
    <w:rsid w:val="000B01E0"/>
    <w:rsid w:val="000B079E"/>
    <w:rsid w:val="000B6439"/>
    <w:rsid w:val="000C4A18"/>
    <w:rsid w:val="000C5D46"/>
    <w:rsid w:val="000C6E96"/>
    <w:rsid w:val="000C7928"/>
    <w:rsid w:val="000D437A"/>
    <w:rsid w:val="000D74E3"/>
    <w:rsid w:val="000E1CE8"/>
    <w:rsid w:val="000F1074"/>
    <w:rsid w:val="0010632C"/>
    <w:rsid w:val="00111C4D"/>
    <w:rsid w:val="00112D04"/>
    <w:rsid w:val="001220C3"/>
    <w:rsid w:val="0012282C"/>
    <w:rsid w:val="0012534B"/>
    <w:rsid w:val="00130A3E"/>
    <w:rsid w:val="001377B8"/>
    <w:rsid w:val="00137FAC"/>
    <w:rsid w:val="00141DB9"/>
    <w:rsid w:val="00151545"/>
    <w:rsid w:val="00154CC5"/>
    <w:rsid w:val="00155800"/>
    <w:rsid w:val="00173DC8"/>
    <w:rsid w:val="001833C6"/>
    <w:rsid w:val="001864A5"/>
    <w:rsid w:val="001B30DD"/>
    <w:rsid w:val="001C3826"/>
    <w:rsid w:val="001C67EA"/>
    <w:rsid w:val="001D0BD8"/>
    <w:rsid w:val="00202AC5"/>
    <w:rsid w:val="0020353A"/>
    <w:rsid w:val="00213189"/>
    <w:rsid w:val="00217717"/>
    <w:rsid w:val="00224FC7"/>
    <w:rsid w:val="0023340C"/>
    <w:rsid w:val="00233A52"/>
    <w:rsid w:val="00236207"/>
    <w:rsid w:val="002531CB"/>
    <w:rsid w:val="002629C6"/>
    <w:rsid w:val="00272DC0"/>
    <w:rsid w:val="002765E2"/>
    <w:rsid w:val="002846CC"/>
    <w:rsid w:val="002B0ABB"/>
    <w:rsid w:val="002D05CA"/>
    <w:rsid w:val="002D680A"/>
    <w:rsid w:val="002F7042"/>
    <w:rsid w:val="00332BD4"/>
    <w:rsid w:val="00353249"/>
    <w:rsid w:val="003538FE"/>
    <w:rsid w:val="003558C8"/>
    <w:rsid w:val="00357BE7"/>
    <w:rsid w:val="00374904"/>
    <w:rsid w:val="00380CA2"/>
    <w:rsid w:val="003838B1"/>
    <w:rsid w:val="003A2F98"/>
    <w:rsid w:val="003A70A4"/>
    <w:rsid w:val="003C011E"/>
    <w:rsid w:val="003C59FA"/>
    <w:rsid w:val="003D061E"/>
    <w:rsid w:val="003D63F7"/>
    <w:rsid w:val="003F4847"/>
    <w:rsid w:val="004079F1"/>
    <w:rsid w:val="00420427"/>
    <w:rsid w:val="00424F24"/>
    <w:rsid w:val="00426557"/>
    <w:rsid w:val="0043132F"/>
    <w:rsid w:val="00437ED7"/>
    <w:rsid w:val="00444944"/>
    <w:rsid w:val="00445F98"/>
    <w:rsid w:val="004521B6"/>
    <w:rsid w:val="0045261D"/>
    <w:rsid w:val="00452C1E"/>
    <w:rsid w:val="004604BB"/>
    <w:rsid w:val="004652AE"/>
    <w:rsid w:val="004703CB"/>
    <w:rsid w:val="00472376"/>
    <w:rsid w:val="00474C93"/>
    <w:rsid w:val="00474E34"/>
    <w:rsid w:val="004915BD"/>
    <w:rsid w:val="0049735C"/>
    <w:rsid w:val="004A2D18"/>
    <w:rsid w:val="004A570E"/>
    <w:rsid w:val="004B296F"/>
    <w:rsid w:val="004C14DE"/>
    <w:rsid w:val="004C1DE0"/>
    <w:rsid w:val="004D0650"/>
    <w:rsid w:val="004D0C85"/>
    <w:rsid w:val="004D1FF7"/>
    <w:rsid w:val="004D2FC0"/>
    <w:rsid w:val="004E098E"/>
    <w:rsid w:val="004E7EA2"/>
    <w:rsid w:val="004F02FE"/>
    <w:rsid w:val="005018CE"/>
    <w:rsid w:val="00505B36"/>
    <w:rsid w:val="00505EE7"/>
    <w:rsid w:val="00507F3C"/>
    <w:rsid w:val="00512F22"/>
    <w:rsid w:val="005154DE"/>
    <w:rsid w:val="00521BB3"/>
    <w:rsid w:val="0052243F"/>
    <w:rsid w:val="005256B4"/>
    <w:rsid w:val="00531722"/>
    <w:rsid w:val="005362DF"/>
    <w:rsid w:val="00537A87"/>
    <w:rsid w:val="00552D84"/>
    <w:rsid w:val="005553B8"/>
    <w:rsid w:val="005712ED"/>
    <w:rsid w:val="00576EF6"/>
    <w:rsid w:val="00583DB2"/>
    <w:rsid w:val="00584627"/>
    <w:rsid w:val="00586FD2"/>
    <w:rsid w:val="0059397D"/>
    <w:rsid w:val="005A7921"/>
    <w:rsid w:val="005C52FE"/>
    <w:rsid w:val="005C710D"/>
    <w:rsid w:val="005D3944"/>
    <w:rsid w:val="005E0275"/>
    <w:rsid w:val="005E5665"/>
    <w:rsid w:val="005F6719"/>
    <w:rsid w:val="0060250A"/>
    <w:rsid w:val="0060490A"/>
    <w:rsid w:val="00606D38"/>
    <w:rsid w:val="00610FEC"/>
    <w:rsid w:val="00611DC4"/>
    <w:rsid w:val="00611F1A"/>
    <w:rsid w:val="00613163"/>
    <w:rsid w:val="0062397A"/>
    <w:rsid w:val="00623B20"/>
    <w:rsid w:val="00624175"/>
    <w:rsid w:val="00626785"/>
    <w:rsid w:val="006324B0"/>
    <w:rsid w:val="006409D3"/>
    <w:rsid w:val="00646355"/>
    <w:rsid w:val="006507D9"/>
    <w:rsid w:val="006521D5"/>
    <w:rsid w:val="00652E17"/>
    <w:rsid w:val="00654D07"/>
    <w:rsid w:val="00657A4A"/>
    <w:rsid w:val="00666863"/>
    <w:rsid w:val="00672739"/>
    <w:rsid w:val="00682A99"/>
    <w:rsid w:val="00683E70"/>
    <w:rsid w:val="00685B20"/>
    <w:rsid w:val="0069030B"/>
    <w:rsid w:val="00692930"/>
    <w:rsid w:val="006937E6"/>
    <w:rsid w:val="006A3F3A"/>
    <w:rsid w:val="006B100B"/>
    <w:rsid w:val="006B4245"/>
    <w:rsid w:val="006C67EF"/>
    <w:rsid w:val="006E4068"/>
    <w:rsid w:val="006F5A5A"/>
    <w:rsid w:val="0070711A"/>
    <w:rsid w:val="007148FB"/>
    <w:rsid w:val="0072153B"/>
    <w:rsid w:val="007222DD"/>
    <w:rsid w:val="0072630E"/>
    <w:rsid w:val="00733728"/>
    <w:rsid w:val="00735953"/>
    <w:rsid w:val="007415AD"/>
    <w:rsid w:val="0075141E"/>
    <w:rsid w:val="00760FC1"/>
    <w:rsid w:val="00762057"/>
    <w:rsid w:val="00773ED5"/>
    <w:rsid w:val="007A1DAE"/>
    <w:rsid w:val="007A5934"/>
    <w:rsid w:val="007B7244"/>
    <w:rsid w:val="007C1D36"/>
    <w:rsid w:val="007C2D96"/>
    <w:rsid w:val="007D1CAA"/>
    <w:rsid w:val="007E37D7"/>
    <w:rsid w:val="00814518"/>
    <w:rsid w:val="008165B1"/>
    <w:rsid w:val="00817D28"/>
    <w:rsid w:val="00822550"/>
    <w:rsid w:val="008248D8"/>
    <w:rsid w:val="00831D4B"/>
    <w:rsid w:val="00841B33"/>
    <w:rsid w:val="00864786"/>
    <w:rsid w:val="00865293"/>
    <w:rsid w:val="0086741E"/>
    <w:rsid w:val="00870288"/>
    <w:rsid w:val="0087382C"/>
    <w:rsid w:val="008769F0"/>
    <w:rsid w:val="00877B5F"/>
    <w:rsid w:val="00884C40"/>
    <w:rsid w:val="00885F92"/>
    <w:rsid w:val="008867C4"/>
    <w:rsid w:val="008952C8"/>
    <w:rsid w:val="008A7BA3"/>
    <w:rsid w:val="008B108A"/>
    <w:rsid w:val="008B3297"/>
    <w:rsid w:val="008C0B8C"/>
    <w:rsid w:val="008C29C0"/>
    <w:rsid w:val="008C64DF"/>
    <w:rsid w:val="008C6B6E"/>
    <w:rsid w:val="008E27AC"/>
    <w:rsid w:val="008E3AD1"/>
    <w:rsid w:val="009067C7"/>
    <w:rsid w:val="00911558"/>
    <w:rsid w:val="00912188"/>
    <w:rsid w:val="0091263C"/>
    <w:rsid w:val="009163CA"/>
    <w:rsid w:val="00921207"/>
    <w:rsid w:val="00922E20"/>
    <w:rsid w:val="009262BE"/>
    <w:rsid w:val="00931EDD"/>
    <w:rsid w:val="00931F81"/>
    <w:rsid w:val="00932949"/>
    <w:rsid w:val="00942E4F"/>
    <w:rsid w:val="0094560A"/>
    <w:rsid w:val="00954835"/>
    <w:rsid w:val="00961177"/>
    <w:rsid w:val="009622F5"/>
    <w:rsid w:val="00963782"/>
    <w:rsid w:val="00971669"/>
    <w:rsid w:val="00973582"/>
    <w:rsid w:val="0098042B"/>
    <w:rsid w:val="0098520F"/>
    <w:rsid w:val="009A233D"/>
    <w:rsid w:val="009A2A3A"/>
    <w:rsid w:val="009A7B5F"/>
    <w:rsid w:val="009B5E7B"/>
    <w:rsid w:val="009B6D1F"/>
    <w:rsid w:val="009D00F8"/>
    <w:rsid w:val="009E3CCA"/>
    <w:rsid w:val="009F6F20"/>
    <w:rsid w:val="00A00518"/>
    <w:rsid w:val="00A632BB"/>
    <w:rsid w:val="00A71636"/>
    <w:rsid w:val="00A840B6"/>
    <w:rsid w:val="00A97952"/>
    <w:rsid w:val="00AC178B"/>
    <w:rsid w:val="00AC3B47"/>
    <w:rsid w:val="00AD1F2D"/>
    <w:rsid w:val="00B102BD"/>
    <w:rsid w:val="00B1110A"/>
    <w:rsid w:val="00B11870"/>
    <w:rsid w:val="00B154C0"/>
    <w:rsid w:val="00B170CC"/>
    <w:rsid w:val="00B30AE3"/>
    <w:rsid w:val="00B36186"/>
    <w:rsid w:val="00B512B3"/>
    <w:rsid w:val="00B672B8"/>
    <w:rsid w:val="00B67EB7"/>
    <w:rsid w:val="00B8550C"/>
    <w:rsid w:val="00B85F5E"/>
    <w:rsid w:val="00B8706D"/>
    <w:rsid w:val="00B930C7"/>
    <w:rsid w:val="00B95876"/>
    <w:rsid w:val="00B97C7C"/>
    <w:rsid w:val="00BA78A7"/>
    <w:rsid w:val="00BB115F"/>
    <w:rsid w:val="00BB471C"/>
    <w:rsid w:val="00BB6472"/>
    <w:rsid w:val="00BB7D57"/>
    <w:rsid w:val="00BC2AFA"/>
    <w:rsid w:val="00BC3E65"/>
    <w:rsid w:val="00BC588A"/>
    <w:rsid w:val="00BD07D3"/>
    <w:rsid w:val="00BD592D"/>
    <w:rsid w:val="00BE2168"/>
    <w:rsid w:val="00BE4269"/>
    <w:rsid w:val="00BF0560"/>
    <w:rsid w:val="00BF0D7A"/>
    <w:rsid w:val="00BF1E5A"/>
    <w:rsid w:val="00C023E8"/>
    <w:rsid w:val="00C02BFC"/>
    <w:rsid w:val="00C06D75"/>
    <w:rsid w:val="00C070FC"/>
    <w:rsid w:val="00C1502C"/>
    <w:rsid w:val="00C15CCD"/>
    <w:rsid w:val="00C22373"/>
    <w:rsid w:val="00C240A1"/>
    <w:rsid w:val="00C310E6"/>
    <w:rsid w:val="00C528C8"/>
    <w:rsid w:val="00C536D4"/>
    <w:rsid w:val="00C55574"/>
    <w:rsid w:val="00C55DC8"/>
    <w:rsid w:val="00C62196"/>
    <w:rsid w:val="00C621FC"/>
    <w:rsid w:val="00C667D0"/>
    <w:rsid w:val="00C74293"/>
    <w:rsid w:val="00C817B6"/>
    <w:rsid w:val="00C84A65"/>
    <w:rsid w:val="00C87A49"/>
    <w:rsid w:val="00C9535E"/>
    <w:rsid w:val="00CA3242"/>
    <w:rsid w:val="00CA32F1"/>
    <w:rsid w:val="00CC3843"/>
    <w:rsid w:val="00CC683A"/>
    <w:rsid w:val="00CD57E4"/>
    <w:rsid w:val="00CE4986"/>
    <w:rsid w:val="00CF0497"/>
    <w:rsid w:val="00D15A91"/>
    <w:rsid w:val="00D15C3C"/>
    <w:rsid w:val="00D16331"/>
    <w:rsid w:val="00D3157B"/>
    <w:rsid w:val="00D427A7"/>
    <w:rsid w:val="00D56CC2"/>
    <w:rsid w:val="00D73D75"/>
    <w:rsid w:val="00D746BF"/>
    <w:rsid w:val="00D828AA"/>
    <w:rsid w:val="00D9394E"/>
    <w:rsid w:val="00D9426B"/>
    <w:rsid w:val="00DB328D"/>
    <w:rsid w:val="00DB4971"/>
    <w:rsid w:val="00DC0D75"/>
    <w:rsid w:val="00DC1DAC"/>
    <w:rsid w:val="00DC2979"/>
    <w:rsid w:val="00DD3203"/>
    <w:rsid w:val="00DD5D65"/>
    <w:rsid w:val="00DF1214"/>
    <w:rsid w:val="00DF32D1"/>
    <w:rsid w:val="00E11E32"/>
    <w:rsid w:val="00E125B3"/>
    <w:rsid w:val="00E16472"/>
    <w:rsid w:val="00E2024B"/>
    <w:rsid w:val="00E32B7F"/>
    <w:rsid w:val="00E407B8"/>
    <w:rsid w:val="00E414E2"/>
    <w:rsid w:val="00E5028D"/>
    <w:rsid w:val="00E61FD7"/>
    <w:rsid w:val="00E777C3"/>
    <w:rsid w:val="00EA5A9B"/>
    <w:rsid w:val="00EB7A98"/>
    <w:rsid w:val="00EC35DD"/>
    <w:rsid w:val="00EC5CE2"/>
    <w:rsid w:val="00EF6D23"/>
    <w:rsid w:val="00F006C9"/>
    <w:rsid w:val="00F00986"/>
    <w:rsid w:val="00F05252"/>
    <w:rsid w:val="00F164B8"/>
    <w:rsid w:val="00F23D3A"/>
    <w:rsid w:val="00F319D8"/>
    <w:rsid w:val="00F56C5D"/>
    <w:rsid w:val="00F61865"/>
    <w:rsid w:val="00F6531F"/>
    <w:rsid w:val="00F75F37"/>
    <w:rsid w:val="00F8030E"/>
    <w:rsid w:val="00F8068F"/>
    <w:rsid w:val="00F807C2"/>
    <w:rsid w:val="00F83BFE"/>
    <w:rsid w:val="00F944B2"/>
    <w:rsid w:val="00F97C48"/>
    <w:rsid w:val="00FA19B6"/>
    <w:rsid w:val="00FC0D09"/>
    <w:rsid w:val="00FD18DF"/>
    <w:rsid w:val="00FE0CF6"/>
    <w:rsid w:val="00FE483F"/>
    <w:rsid w:val="00FE6A1E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9163CA"/>
    <w:rPr>
      <w:rFonts w:cs="Times New Roman"/>
    </w:rPr>
  </w:style>
  <w:style w:type="paragraph" w:styleId="a5">
    <w:name w:val="footer"/>
    <w:basedOn w:val="a"/>
    <w:link w:val="a6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9163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basedOn w:val="a0"/>
    <w:link w:val="10"/>
    <w:uiPriority w:val="99"/>
    <w:locked/>
    <w:rsid w:val="00A840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uiPriority w:val="99"/>
    <w:locked/>
    <w:rsid w:val="00A840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uiPriority w:val="99"/>
    <w:locked/>
    <w:rsid w:val="00A840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uiPriority w:val="99"/>
    <w:locked/>
    <w:rsid w:val="00A840B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uiPriority w:val="99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40">
    <w:name w:val="Основен текст (4)"/>
    <w:basedOn w:val="a"/>
    <w:link w:val="4"/>
    <w:uiPriority w:val="99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uiPriority w:val="99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</w:rPr>
  </w:style>
  <w:style w:type="character" w:styleId="a9">
    <w:name w:val="Hyperlink"/>
    <w:basedOn w:val="a0"/>
    <w:uiPriority w:val="99"/>
    <w:unhideWhenUsed/>
    <w:rsid w:val="006C67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3728"/>
    <w:pPr>
      <w:ind w:left="720"/>
      <w:contextualSpacing/>
    </w:pPr>
  </w:style>
  <w:style w:type="paragraph" w:styleId="ab">
    <w:name w:val="No Spacing"/>
    <w:uiPriority w:val="1"/>
    <w:qFormat/>
    <w:rsid w:val="00BD592D"/>
    <w:rPr>
      <w:rFonts w:asciiTheme="minorHAnsi" w:eastAsiaTheme="minorHAnsi" w:hAnsiTheme="minorHAnsi" w:cstheme="minorBidi"/>
      <w:lang w:eastAsia="en-US"/>
    </w:rPr>
  </w:style>
  <w:style w:type="paragraph" w:styleId="ac">
    <w:name w:val="Normal (Web)"/>
    <w:basedOn w:val="a"/>
    <w:uiPriority w:val="99"/>
    <w:unhideWhenUsed/>
    <w:rsid w:val="0096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locked/>
    <w:rsid w:val="00962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9163CA"/>
    <w:rPr>
      <w:rFonts w:cs="Times New Roman"/>
    </w:rPr>
  </w:style>
  <w:style w:type="paragraph" w:styleId="a5">
    <w:name w:val="footer"/>
    <w:basedOn w:val="a"/>
    <w:link w:val="a6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9163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basedOn w:val="a0"/>
    <w:link w:val="10"/>
    <w:uiPriority w:val="99"/>
    <w:locked/>
    <w:rsid w:val="00A840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uiPriority w:val="99"/>
    <w:locked/>
    <w:rsid w:val="00A840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uiPriority w:val="99"/>
    <w:locked/>
    <w:rsid w:val="00A840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uiPriority w:val="99"/>
    <w:locked/>
    <w:rsid w:val="00A840B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uiPriority w:val="99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40">
    <w:name w:val="Основен текст (4)"/>
    <w:basedOn w:val="a"/>
    <w:link w:val="4"/>
    <w:uiPriority w:val="99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uiPriority w:val="99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</w:rPr>
  </w:style>
  <w:style w:type="character" w:styleId="a9">
    <w:name w:val="Hyperlink"/>
    <w:basedOn w:val="a0"/>
    <w:uiPriority w:val="99"/>
    <w:unhideWhenUsed/>
    <w:rsid w:val="006C67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3728"/>
    <w:pPr>
      <w:ind w:left="720"/>
      <w:contextualSpacing/>
    </w:pPr>
  </w:style>
  <w:style w:type="paragraph" w:styleId="ab">
    <w:name w:val="No Spacing"/>
    <w:uiPriority w:val="1"/>
    <w:qFormat/>
    <w:rsid w:val="00BD592D"/>
    <w:rPr>
      <w:rFonts w:asciiTheme="minorHAnsi" w:eastAsiaTheme="minorHAnsi" w:hAnsiTheme="minorHAnsi" w:cstheme="minorBidi"/>
      <w:lang w:eastAsia="en-US"/>
    </w:rPr>
  </w:style>
  <w:style w:type="paragraph" w:styleId="ac">
    <w:name w:val="Normal (Web)"/>
    <w:basedOn w:val="a"/>
    <w:uiPriority w:val="99"/>
    <w:unhideWhenUsed/>
    <w:rsid w:val="0096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locked/>
    <w:rsid w:val="00962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953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500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4551">
          <w:marLeft w:val="0"/>
          <w:marRight w:val="0"/>
          <w:marTop w:val="45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655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4&amp;ToPar=Art239_Pt6&amp;Type=201" TargetMode="External"/><Relationship Id="rId13" Type="http://schemas.openxmlformats.org/officeDocument/2006/relationships/hyperlink" Target="apis://Base=NARH&amp;DocCode=21002&amp;Type=201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21002&amp;Type=20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2024&amp;ToPar=Art239_Pt6&amp;Type=2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pis://Base=NARH&amp;DocCode=21002&amp;Type=20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24&amp;ToPar=Art239_Pt6&amp;Type=201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A84F-155E-4C88-9A26-A1EDF628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</dc:creator>
  <cp:lastModifiedBy>office@primetimebg.com</cp:lastModifiedBy>
  <cp:revision>3</cp:revision>
  <cp:lastPrinted>2022-04-06T13:19:00Z</cp:lastPrinted>
  <dcterms:created xsi:type="dcterms:W3CDTF">2023-07-04T11:55:00Z</dcterms:created>
  <dcterms:modified xsi:type="dcterms:W3CDTF">2023-07-04T11:57:00Z</dcterms:modified>
</cp:coreProperties>
</file>